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74360" w14:textId="77777777" w:rsidR="00B351CE" w:rsidRPr="006532C7" w:rsidRDefault="009E5069" w:rsidP="009E5069">
      <w:pPr>
        <w:pStyle w:val="Title"/>
        <w:jc w:val="center"/>
        <w:rPr>
          <w:sz w:val="16"/>
          <w:szCs w:val="16"/>
        </w:rPr>
      </w:pPr>
      <w:r w:rsidRPr="006532C7">
        <w:rPr>
          <w:sz w:val="16"/>
          <w:szCs w:val="16"/>
        </w:rPr>
        <w:t>VQM – Value, Quality &amp; Momentum</w:t>
      </w:r>
    </w:p>
    <w:p w14:paraId="4410B150" w14:textId="77777777" w:rsidR="009E5069" w:rsidRPr="006532C7" w:rsidRDefault="009E5069" w:rsidP="009E5069">
      <w:pPr>
        <w:spacing w:line="240" w:lineRule="auto"/>
        <w:rPr>
          <w:sz w:val="16"/>
          <w:szCs w:val="16"/>
        </w:rPr>
      </w:pPr>
      <w:r w:rsidRPr="006532C7">
        <w:rPr>
          <w:sz w:val="16"/>
          <w:szCs w:val="16"/>
        </w:rPr>
        <w:t xml:space="preserve">Modellen syftar till att dels ta vara på dem faktorer som förklarar avkastningen hos aktier (se Fama &amp; French’s 5-faktor modell, Q-factor Model av Zhang etc), samt att efterlikna en </w:t>
      </w:r>
      <w:r w:rsidRPr="006532C7">
        <w:rPr>
          <w:i/>
          <w:sz w:val="16"/>
          <w:szCs w:val="16"/>
        </w:rPr>
        <w:t>sund</w:t>
      </w:r>
      <w:r w:rsidRPr="006532C7">
        <w:rPr>
          <w:sz w:val="16"/>
          <w:szCs w:val="16"/>
        </w:rPr>
        <w:t xml:space="preserve"> investeringsprocess. Strategin är inte fundamentalistisk i den mån att den inte strikt följer dem definitioner av exempelvis värde som mest används inom forskningslitteraturen (Price-to-Book), och lånar en hel del från kända investerare, såsom Peter Lynch med sitt PEG-tal.</w:t>
      </w:r>
    </w:p>
    <w:p w14:paraId="4F6F1238" w14:textId="77777777" w:rsidR="009E5069" w:rsidRPr="006532C7" w:rsidRDefault="009E5069" w:rsidP="009E5069">
      <w:pPr>
        <w:pStyle w:val="Heading1"/>
        <w:spacing w:line="240" w:lineRule="auto"/>
        <w:rPr>
          <w:sz w:val="16"/>
          <w:szCs w:val="16"/>
        </w:rPr>
      </w:pPr>
      <w:r w:rsidRPr="006532C7">
        <w:rPr>
          <w:sz w:val="16"/>
          <w:szCs w:val="16"/>
        </w:rPr>
        <w:t>Steg 1 – Definiera investeringsuniversumet</w:t>
      </w:r>
    </w:p>
    <w:p w14:paraId="731AC51C" w14:textId="77777777" w:rsidR="009E5069" w:rsidRPr="006532C7" w:rsidRDefault="009E5069" w:rsidP="009E5069">
      <w:pPr>
        <w:spacing w:line="240" w:lineRule="auto"/>
        <w:rPr>
          <w:sz w:val="16"/>
          <w:szCs w:val="16"/>
        </w:rPr>
      </w:pPr>
      <w:r w:rsidRPr="006532C7">
        <w:rPr>
          <w:sz w:val="16"/>
          <w:szCs w:val="16"/>
        </w:rPr>
        <w:t>Då studier, samt sunt förnuft visar att förklarande faktorer är starkare hos småbolagen (även efter justering för den såkallade ”size”-premien) sätts ingen minimum-gräns på market capitalization. Mindre bolag är mindre analyserade och mer benägna till felprissättningar, vilket vi söker. Jag riktar inte heller portföljen MOT just småbolagen, då målet är att hitta bolag som är lågt värderade till dess fundamenta, oavsett om bolaget är litet eller stort.</w:t>
      </w:r>
    </w:p>
    <w:p w14:paraId="6508AA0C" w14:textId="77777777" w:rsidR="009E5069" w:rsidRPr="006532C7" w:rsidRDefault="009E5069" w:rsidP="009E5069">
      <w:pPr>
        <w:spacing w:line="240" w:lineRule="auto"/>
        <w:rPr>
          <w:sz w:val="16"/>
          <w:szCs w:val="16"/>
        </w:rPr>
      </w:pPr>
      <w:r w:rsidRPr="006532C7">
        <w:rPr>
          <w:sz w:val="16"/>
          <w:szCs w:val="16"/>
        </w:rPr>
        <w:t>Investeringsuniversumet sätts efter följande definitioner:</w:t>
      </w:r>
    </w:p>
    <w:p w14:paraId="18707756" w14:textId="77777777" w:rsidR="009E5069" w:rsidRPr="006532C7" w:rsidRDefault="009E5069" w:rsidP="009E5069">
      <w:pPr>
        <w:pStyle w:val="ListParagraph"/>
        <w:numPr>
          <w:ilvl w:val="0"/>
          <w:numId w:val="1"/>
        </w:numPr>
        <w:spacing w:line="240" w:lineRule="auto"/>
        <w:rPr>
          <w:sz w:val="16"/>
          <w:szCs w:val="16"/>
        </w:rPr>
      </w:pPr>
      <w:r w:rsidRPr="006532C7">
        <w:rPr>
          <w:sz w:val="16"/>
          <w:szCs w:val="16"/>
        </w:rPr>
        <w:t>Alla Svenska bolag som det finns tillgänglig och komplett data för...</w:t>
      </w:r>
    </w:p>
    <w:p w14:paraId="2D9EE414" w14:textId="77777777" w:rsidR="009E5069" w:rsidRPr="006532C7" w:rsidRDefault="009E5069" w:rsidP="009E5069">
      <w:pPr>
        <w:pStyle w:val="ListParagraph"/>
        <w:numPr>
          <w:ilvl w:val="0"/>
          <w:numId w:val="1"/>
        </w:numPr>
        <w:spacing w:line="240" w:lineRule="auto"/>
        <w:rPr>
          <w:sz w:val="16"/>
          <w:szCs w:val="16"/>
        </w:rPr>
      </w:pPr>
      <w:r w:rsidRPr="006532C7">
        <w:rPr>
          <w:sz w:val="16"/>
          <w:szCs w:val="16"/>
        </w:rPr>
        <w:t>Som inte är Bank, Försäkringsbolag, Fastighetsbolag eller andra finansiella bolag (då dem KPIer som används helt enkelt inte fungerar för dessa)...</w:t>
      </w:r>
    </w:p>
    <w:p w14:paraId="43A091D5" w14:textId="1A3B5655" w:rsidR="009E5069" w:rsidRPr="006532C7" w:rsidRDefault="009E5069" w:rsidP="009E5069">
      <w:pPr>
        <w:pStyle w:val="ListParagraph"/>
        <w:numPr>
          <w:ilvl w:val="0"/>
          <w:numId w:val="1"/>
        </w:numPr>
        <w:spacing w:line="240" w:lineRule="auto"/>
        <w:rPr>
          <w:sz w:val="16"/>
          <w:szCs w:val="16"/>
        </w:rPr>
      </w:pPr>
      <w:r w:rsidRPr="006532C7">
        <w:rPr>
          <w:sz w:val="16"/>
          <w:szCs w:val="16"/>
        </w:rPr>
        <w:t>Som har visat vinst senaste rullande 12 månader, positivt fritt kassaflöde senaste rullande 12 månader, och påvisat en positivt EBIT-tillväxt</w:t>
      </w:r>
      <w:r w:rsidR="00C87E5F">
        <w:rPr>
          <w:sz w:val="16"/>
          <w:szCs w:val="16"/>
        </w:rPr>
        <w:t xml:space="preserve"> samt FCF-tillväxt</w:t>
      </w:r>
      <w:r w:rsidRPr="006532C7">
        <w:rPr>
          <w:sz w:val="16"/>
          <w:szCs w:val="16"/>
        </w:rPr>
        <w:t xml:space="preserve"> senaste </w:t>
      </w:r>
      <w:r w:rsidR="00C87E5F">
        <w:rPr>
          <w:sz w:val="16"/>
          <w:szCs w:val="16"/>
        </w:rPr>
        <w:t>7</w:t>
      </w:r>
      <w:r w:rsidRPr="006532C7">
        <w:rPr>
          <w:sz w:val="16"/>
          <w:szCs w:val="16"/>
        </w:rPr>
        <w:t xml:space="preserve"> åren (CAGR). Detta för att både ta bort olönsamma bolag med dålig historik av tillväxt, samt för att kommande KPIer skall fungera i utvärderingen</w:t>
      </w:r>
    </w:p>
    <w:p w14:paraId="0207658F" w14:textId="77777777" w:rsidR="009E5069" w:rsidRPr="006532C7" w:rsidRDefault="009E5069">
      <w:pPr>
        <w:rPr>
          <w:rFonts w:asciiTheme="majorHAnsi" w:eastAsiaTheme="majorEastAsia" w:hAnsiTheme="majorHAnsi" w:cstheme="majorBidi"/>
          <w:b/>
          <w:bCs/>
          <w:color w:val="365F91" w:themeColor="accent1" w:themeShade="BF"/>
          <w:sz w:val="16"/>
          <w:szCs w:val="16"/>
        </w:rPr>
      </w:pPr>
      <w:r w:rsidRPr="006532C7">
        <w:rPr>
          <w:sz w:val="16"/>
          <w:szCs w:val="16"/>
        </w:rPr>
        <w:br w:type="page"/>
      </w:r>
    </w:p>
    <w:p w14:paraId="70CFD5DE" w14:textId="77777777" w:rsidR="009E5069" w:rsidRPr="006532C7" w:rsidRDefault="009E5069" w:rsidP="009E5069">
      <w:pPr>
        <w:pStyle w:val="Heading1"/>
        <w:rPr>
          <w:sz w:val="16"/>
          <w:szCs w:val="16"/>
        </w:rPr>
      </w:pPr>
      <w:r w:rsidRPr="006532C7">
        <w:rPr>
          <w:sz w:val="16"/>
          <w:szCs w:val="16"/>
        </w:rPr>
        <w:lastRenderedPageBreak/>
        <w:t>Steg 2 – Ta bort bottenskrapet</w:t>
      </w:r>
    </w:p>
    <w:p w14:paraId="704CAB52" w14:textId="77777777" w:rsidR="009E5069" w:rsidRPr="006532C7" w:rsidRDefault="009E5069" w:rsidP="009E5069">
      <w:pPr>
        <w:spacing w:line="240" w:lineRule="auto"/>
        <w:rPr>
          <w:sz w:val="16"/>
          <w:szCs w:val="16"/>
        </w:rPr>
      </w:pPr>
      <w:r w:rsidRPr="006532C7">
        <w:rPr>
          <w:sz w:val="16"/>
          <w:szCs w:val="16"/>
        </w:rPr>
        <w:t>En hel del bolag är billiga av en anledning. Då målet är att hitta billiga bolag, är det lämpligt att först ta bort dem bolag vi definitivt inte vill äga. Nedan redovisas dem punkter modellen tittar på, varför, samt en förklaring över hur dessa sammanvägs i modellen.</w:t>
      </w:r>
    </w:p>
    <w:p w14:paraId="48555B81" w14:textId="77777777" w:rsidR="009E5069" w:rsidRPr="006532C7" w:rsidRDefault="009E5069" w:rsidP="009E5069">
      <w:pPr>
        <w:pStyle w:val="ListParagraph"/>
        <w:numPr>
          <w:ilvl w:val="0"/>
          <w:numId w:val="2"/>
        </w:numPr>
        <w:spacing w:line="240" w:lineRule="auto"/>
        <w:rPr>
          <w:sz w:val="16"/>
          <w:szCs w:val="16"/>
        </w:rPr>
      </w:pPr>
      <w:r w:rsidRPr="006532C7">
        <w:rPr>
          <w:sz w:val="16"/>
          <w:szCs w:val="16"/>
          <w:u w:val="single"/>
        </w:rPr>
        <w:t>Earnings Quality –</w:t>
      </w:r>
      <w:r w:rsidRPr="006532C7">
        <w:rPr>
          <w:sz w:val="16"/>
          <w:szCs w:val="16"/>
        </w:rPr>
        <w:t xml:space="preserve"> Bolag vars redovisade vinst och operativa kassaflöde divergerar eller har stor skillnad mellan sig, har historiskt underpresterat. Jag använder Scaled Total Accruals, som är skillnaden i förhållandet till bolagets totala tillgångar. Det kan vara tecken på dålig ”revenue-recognition” och i vissa fall även varit en indikator på bokföringsfel/brott. Oavsett vill vi äga bolag vars vinst till stor del består av kassaflöde från verksamheten, det är ett bolag med hög vinstkvalitet.</w:t>
      </w:r>
      <w:r w:rsidRPr="006532C7">
        <w:rPr>
          <w:sz w:val="16"/>
          <w:szCs w:val="16"/>
        </w:rPr>
        <w:br/>
      </w:r>
      <m:oMathPara>
        <m:oMathParaPr>
          <m:jc m:val="left"/>
        </m:oMathParaPr>
        <m:oMath>
          <m:r>
            <w:rPr>
              <w:rFonts w:ascii="Cambria Math" w:hAnsi="Cambria Math"/>
              <w:sz w:val="16"/>
              <w:szCs w:val="16"/>
            </w:rPr>
            <m:t>STA=</m:t>
          </m:r>
          <m:f>
            <m:fPr>
              <m:ctrlPr>
                <w:rPr>
                  <w:rFonts w:ascii="Cambria Math" w:hAnsi="Cambria Math"/>
                  <w:i/>
                  <w:sz w:val="16"/>
                  <w:szCs w:val="16"/>
                </w:rPr>
              </m:ctrlPr>
            </m:fPr>
            <m:num>
              <m:r>
                <w:rPr>
                  <w:rFonts w:ascii="Cambria Math" w:hAnsi="Cambria Math"/>
                  <w:sz w:val="16"/>
                  <w:szCs w:val="16"/>
                </w:rPr>
                <m:t>Net Income-Cashflow from Operations</m:t>
              </m:r>
            </m:num>
            <m:den>
              <m:r>
                <w:rPr>
                  <w:rFonts w:ascii="Cambria Math" w:hAnsi="Cambria Math"/>
                  <w:sz w:val="16"/>
                  <w:szCs w:val="16"/>
                </w:rPr>
                <m:t>Total Assets</m:t>
              </m:r>
            </m:den>
          </m:f>
          <m:r>
            <m:rPr>
              <m:sty m:val="p"/>
            </m:rPr>
            <w:rPr>
              <w:rFonts w:eastAsiaTheme="minorEastAsia"/>
              <w:sz w:val="16"/>
              <w:szCs w:val="16"/>
            </w:rPr>
            <w:br/>
          </m:r>
        </m:oMath>
      </m:oMathPara>
    </w:p>
    <w:p w14:paraId="0DA4414D" w14:textId="77777777" w:rsidR="009E5069" w:rsidRPr="006532C7" w:rsidRDefault="009E5069" w:rsidP="009E5069">
      <w:pPr>
        <w:pStyle w:val="ListParagraph"/>
        <w:numPr>
          <w:ilvl w:val="0"/>
          <w:numId w:val="2"/>
        </w:numPr>
        <w:spacing w:line="240" w:lineRule="auto"/>
        <w:rPr>
          <w:sz w:val="16"/>
          <w:szCs w:val="16"/>
        </w:rPr>
      </w:pPr>
      <w:r w:rsidRPr="006532C7">
        <w:rPr>
          <w:sz w:val="16"/>
          <w:szCs w:val="16"/>
          <w:u w:val="single"/>
        </w:rPr>
        <w:t xml:space="preserve">Financial Strength – </w:t>
      </w:r>
      <w:r w:rsidRPr="006532C7">
        <w:rPr>
          <w:sz w:val="16"/>
          <w:szCs w:val="16"/>
        </w:rPr>
        <w:t xml:space="preserve">Bolag som tar på sig för mycket skulder i förhållande till sin förmåga att generera vinst är sällan en bra investering. Dock är det inte ett linjärt samband, dvs dem bolag med </w:t>
      </w:r>
      <w:r w:rsidRPr="006532C7">
        <w:rPr>
          <w:i/>
          <w:sz w:val="16"/>
          <w:szCs w:val="16"/>
        </w:rPr>
        <w:t>minst</w:t>
      </w:r>
      <w:r w:rsidRPr="006532C7">
        <w:rPr>
          <w:sz w:val="16"/>
          <w:szCs w:val="16"/>
        </w:rPr>
        <w:t xml:space="preserve"> skulder är inte dem bästa investeringarna. Vi vill fokusera på att få bort dem absolut värst skuldsatta. Här används Net Debt/EBITDA, dels för att det är ett populärt mått, dels för att det enligt studier har bättre förklaringskraft än mer traditonella mått såsom Solidititet.</w:t>
      </w:r>
      <w:r w:rsidRPr="006532C7">
        <w:rPr>
          <w:sz w:val="16"/>
          <w:szCs w:val="16"/>
        </w:rPr>
        <w:br/>
      </w:r>
      <m:oMathPara>
        <m:oMathParaPr>
          <m:jc m:val="left"/>
        </m:oMathParaPr>
        <m:oMath>
          <m:f>
            <m:fPr>
              <m:ctrlPr>
                <w:rPr>
                  <w:rFonts w:ascii="Cambria Math" w:hAnsi="Cambria Math"/>
                  <w:i/>
                  <w:sz w:val="16"/>
                  <w:szCs w:val="16"/>
                </w:rPr>
              </m:ctrlPr>
            </m:fPr>
            <m:num>
              <m:r>
                <w:rPr>
                  <w:rFonts w:ascii="Cambria Math" w:hAnsi="Cambria Math"/>
                  <w:sz w:val="16"/>
                  <w:szCs w:val="16"/>
                </w:rPr>
                <m:t>Net Debt</m:t>
              </m:r>
            </m:num>
            <m:den>
              <m:r>
                <w:rPr>
                  <w:rFonts w:ascii="Cambria Math" w:hAnsi="Cambria Math"/>
                  <w:sz w:val="16"/>
                  <w:szCs w:val="16"/>
                </w:rPr>
                <m:t>EBITDA</m:t>
              </m:r>
            </m:den>
          </m:f>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Total Debt-Total Cash</m:t>
              </m:r>
            </m:num>
            <m:den>
              <m:r>
                <w:rPr>
                  <w:rFonts w:ascii="Cambria Math" w:hAnsi="Cambria Math"/>
                  <w:sz w:val="16"/>
                  <w:szCs w:val="16"/>
                </w:rPr>
                <m:t>EBITDA</m:t>
              </m:r>
            </m:den>
          </m:f>
          <m:r>
            <m:rPr>
              <m:sty m:val="p"/>
            </m:rPr>
            <w:rPr>
              <w:rFonts w:eastAsiaTheme="minorEastAsia"/>
              <w:sz w:val="16"/>
              <w:szCs w:val="16"/>
            </w:rPr>
            <w:br/>
          </m:r>
        </m:oMath>
      </m:oMathPara>
    </w:p>
    <w:p w14:paraId="59BCE005" w14:textId="72395DFE" w:rsidR="002A3D11" w:rsidRPr="00A92F65" w:rsidRDefault="002A3D11" w:rsidP="009E5069">
      <w:pPr>
        <w:pStyle w:val="ListParagraph"/>
        <w:numPr>
          <w:ilvl w:val="0"/>
          <w:numId w:val="2"/>
        </w:numPr>
        <w:spacing w:line="240" w:lineRule="auto"/>
        <w:rPr>
          <w:sz w:val="16"/>
          <w:szCs w:val="16"/>
          <w:u w:val="single"/>
        </w:rPr>
      </w:pPr>
      <w:proofErr w:type="spellStart"/>
      <w:r w:rsidRPr="002A3D11">
        <w:rPr>
          <w:sz w:val="16"/>
          <w:szCs w:val="16"/>
          <w:u w:val="single"/>
        </w:rPr>
        <w:t>Financial</w:t>
      </w:r>
      <w:proofErr w:type="spellEnd"/>
      <w:r w:rsidRPr="002A3D11">
        <w:rPr>
          <w:sz w:val="16"/>
          <w:szCs w:val="16"/>
          <w:u w:val="single"/>
        </w:rPr>
        <w:t xml:space="preserve"> </w:t>
      </w:r>
      <w:proofErr w:type="spellStart"/>
      <w:r w:rsidRPr="002A3D11">
        <w:rPr>
          <w:sz w:val="16"/>
          <w:szCs w:val="16"/>
          <w:u w:val="single"/>
        </w:rPr>
        <w:t>Liquidity</w:t>
      </w:r>
      <w:proofErr w:type="spellEnd"/>
      <w:r w:rsidRPr="002A3D11">
        <w:rPr>
          <w:sz w:val="16"/>
          <w:szCs w:val="16"/>
          <w:u w:val="single"/>
        </w:rPr>
        <w:t xml:space="preserve"> </w:t>
      </w:r>
      <w:r>
        <w:rPr>
          <w:sz w:val="16"/>
          <w:szCs w:val="16"/>
          <w:u w:val="single"/>
        </w:rPr>
        <w:t>–</w:t>
      </w:r>
      <w:r w:rsidRPr="002A3D11">
        <w:rPr>
          <w:sz w:val="16"/>
          <w:szCs w:val="16"/>
          <w:u w:val="single"/>
        </w:rPr>
        <w:t xml:space="preserve"> </w:t>
      </w:r>
      <w:r>
        <w:rPr>
          <w:sz w:val="16"/>
          <w:szCs w:val="16"/>
        </w:rPr>
        <w:t>Bolag med likviditetsproblem är inget vi vill äga. Kortsiktiga problem med finansieringen, trots att bolaget i sig har en fungerade affärsmodell, kan innebära allt från konkurser till emissioner till att bolaget tar på sig dyra temporära finansieringslösningar. Här används ”</w:t>
      </w:r>
      <w:proofErr w:type="spellStart"/>
      <w:r>
        <w:rPr>
          <w:sz w:val="16"/>
          <w:szCs w:val="16"/>
        </w:rPr>
        <w:t>Current</w:t>
      </w:r>
      <w:proofErr w:type="spellEnd"/>
      <w:r>
        <w:rPr>
          <w:sz w:val="16"/>
          <w:szCs w:val="16"/>
        </w:rPr>
        <w:t xml:space="preserve"> </w:t>
      </w:r>
      <w:proofErr w:type="spellStart"/>
      <w:r>
        <w:rPr>
          <w:sz w:val="16"/>
          <w:szCs w:val="16"/>
        </w:rPr>
        <w:t>Ratio</w:t>
      </w:r>
      <w:proofErr w:type="spellEnd"/>
      <w:r>
        <w:rPr>
          <w:sz w:val="16"/>
          <w:szCs w:val="16"/>
        </w:rPr>
        <w:t>”</w:t>
      </w:r>
      <w:r w:rsidR="00764F7D">
        <w:rPr>
          <w:sz w:val="16"/>
          <w:szCs w:val="16"/>
        </w:rPr>
        <w:t>.</w:t>
      </w:r>
      <w:r w:rsidR="00764F7D">
        <w:rPr>
          <w:sz w:val="16"/>
          <w:szCs w:val="16"/>
        </w:rPr>
        <w:br/>
      </w:r>
      <m:oMathPara>
        <m:oMathParaPr>
          <m:jc m:val="left"/>
        </m:oMathParaPr>
        <m:oMath>
          <m:r>
            <w:rPr>
              <w:rFonts w:ascii="Cambria Math" w:hAnsi="Cambria Math"/>
              <w:sz w:val="16"/>
              <w:szCs w:val="16"/>
            </w:rPr>
            <m:t>Current</m:t>
          </m:r>
          <m:r>
            <w:rPr>
              <w:rFonts w:ascii="Cambria Math" w:hAnsi="Cambria Math"/>
              <w:sz w:val="16"/>
              <w:szCs w:val="16"/>
            </w:rPr>
            <m:t xml:space="preserve"> Ratio=</m:t>
          </m:r>
          <m:f>
            <m:fPr>
              <m:ctrlPr>
                <w:rPr>
                  <w:rFonts w:ascii="Cambria Math" w:hAnsi="Cambria Math"/>
                  <w:i/>
                  <w:sz w:val="16"/>
                  <w:szCs w:val="16"/>
                </w:rPr>
              </m:ctrlPr>
            </m:fPr>
            <m:num>
              <m:r>
                <w:rPr>
                  <w:rFonts w:ascii="Cambria Math" w:hAnsi="Cambria Math"/>
                  <w:sz w:val="16"/>
                  <w:szCs w:val="16"/>
                </w:rPr>
                <m:t>Current Assets</m:t>
              </m:r>
            </m:num>
            <m:den>
              <m:r>
                <w:rPr>
                  <w:rFonts w:ascii="Cambria Math" w:hAnsi="Cambria Math"/>
                  <w:sz w:val="16"/>
                  <w:szCs w:val="16"/>
                </w:rPr>
                <m:t>Current Liabilities</m:t>
              </m:r>
            </m:den>
          </m:f>
          <m:r>
            <w:rPr>
              <w:rFonts w:eastAsiaTheme="minorEastAsia"/>
              <w:sz w:val="16"/>
              <w:szCs w:val="16"/>
            </w:rPr>
            <w:br/>
          </m:r>
        </m:oMath>
      </m:oMathPara>
    </w:p>
    <w:p w14:paraId="7169EDDA" w14:textId="7A52E8E0" w:rsidR="009E5069" w:rsidRPr="006532C7" w:rsidRDefault="009E5069" w:rsidP="009E5069">
      <w:pPr>
        <w:pStyle w:val="ListParagraph"/>
        <w:numPr>
          <w:ilvl w:val="0"/>
          <w:numId w:val="2"/>
        </w:numPr>
        <w:spacing w:line="240" w:lineRule="auto"/>
        <w:rPr>
          <w:sz w:val="16"/>
          <w:szCs w:val="16"/>
        </w:rPr>
      </w:pPr>
      <w:proofErr w:type="spellStart"/>
      <w:r w:rsidRPr="006532C7">
        <w:rPr>
          <w:sz w:val="16"/>
          <w:szCs w:val="16"/>
          <w:u w:val="single"/>
        </w:rPr>
        <w:t>Financial</w:t>
      </w:r>
      <w:proofErr w:type="spellEnd"/>
      <w:r w:rsidRPr="006532C7">
        <w:rPr>
          <w:sz w:val="16"/>
          <w:szCs w:val="16"/>
          <w:u w:val="single"/>
        </w:rPr>
        <w:t xml:space="preserve"> </w:t>
      </w:r>
      <w:proofErr w:type="spellStart"/>
      <w:r w:rsidRPr="006532C7">
        <w:rPr>
          <w:sz w:val="16"/>
          <w:szCs w:val="16"/>
          <w:u w:val="single"/>
        </w:rPr>
        <w:t>Discipline</w:t>
      </w:r>
      <w:proofErr w:type="spellEnd"/>
      <w:r w:rsidRPr="006532C7">
        <w:rPr>
          <w:sz w:val="16"/>
          <w:szCs w:val="16"/>
          <w:u w:val="single"/>
        </w:rPr>
        <w:t xml:space="preserve"> –</w:t>
      </w:r>
      <w:r w:rsidRPr="006532C7">
        <w:rPr>
          <w:sz w:val="16"/>
          <w:szCs w:val="16"/>
        </w:rPr>
        <w:t xml:space="preserve"> Konservativ kapitalallokering har historiskt överpresterat. Shareholder Yield, ett mått på bolagets totala utdelningar, återköp och avbetalning av skulder har skapat aktieägarvärde, trots dessa mindre ”innovativa och spännande” investeringar i det egna bolaget. Här tittas jag på kassaflödet från finansiering i förhållande till bolagets totala tillgångar. Vi vill inte se ett stort inflöde (positivt flöde).</w:t>
      </w:r>
      <w:r w:rsidRPr="006532C7">
        <w:rPr>
          <w:sz w:val="16"/>
          <w:szCs w:val="16"/>
        </w:rPr>
        <w:br/>
      </w:r>
      <m:oMathPara>
        <m:oMathParaPr>
          <m:jc m:val="left"/>
        </m:oMathParaPr>
        <m:oMath>
          <m:f>
            <m:fPr>
              <m:ctrlPr>
                <w:rPr>
                  <w:rFonts w:ascii="Cambria Math" w:hAnsi="Cambria Math"/>
                  <w:i/>
                  <w:sz w:val="16"/>
                  <w:szCs w:val="16"/>
                </w:rPr>
              </m:ctrlPr>
            </m:fPr>
            <m:num>
              <m:r>
                <w:rPr>
                  <w:rFonts w:ascii="Cambria Math" w:hAnsi="Cambria Math"/>
                  <w:sz w:val="16"/>
                  <w:szCs w:val="16"/>
                </w:rPr>
                <m:t>Cash flow from Financing</m:t>
              </m:r>
            </m:num>
            <m:den>
              <m:r>
                <w:rPr>
                  <w:rFonts w:ascii="Cambria Math" w:hAnsi="Cambria Math"/>
                  <w:sz w:val="16"/>
                  <w:szCs w:val="16"/>
                </w:rPr>
                <m:t>Total Assets</m:t>
              </m:r>
            </m:den>
          </m:f>
          <m:r>
            <w:rPr>
              <w:rFonts w:ascii="Cambria Math" w:hAnsi="Cambria Math"/>
              <w:sz w:val="16"/>
              <w:szCs w:val="16"/>
            </w:rPr>
            <m:t xml:space="preserve">   </m:t>
          </m:r>
          <m:r>
            <m:rPr>
              <m:sty m:val="p"/>
            </m:rPr>
            <w:rPr>
              <w:rFonts w:eastAsiaTheme="minorEastAsia"/>
              <w:sz w:val="16"/>
              <w:szCs w:val="16"/>
            </w:rPr>
            <w:br/>
          </m:r>
        </m:oMath>
      </m:oMathPara>
    </w:p>
    <w:p w14:paraId="07D6BDF5" w14:textId="77777777" w:rsidR="009E5069" w:rsidRPr="006532C7" w:rsidRDefault="009E5069" w:rsidP="009E5069">
      <w:pPr>
        <w:pStyle w:val="ListParagraph"/>
        <w:numPr>
          <w:ilvl w:val="0"/>
          <w:numId w:val="2"/>
        </w:numPr>
        <w:spacing w:line="240" w:lineRule="auto"/>
        <w:rPr>
          <w:sz w:val="16"/>
          <w:szCs w:val="16"/>
        </w:rPr>
      </w:pPr>
      <w:r w:rsidRPr="006532C7">
        <w:rPr>
          <w:sz w:val="16"/>
          <w:szCs w:val="16"/>
          <w:u w:val="single"/>
        </w:rPr>
        <w:t>Asset Growth –</w:t>
      </w:r>
      <w:r w:rsidRPr="006532C7">
        <w:rPr>
          <w:sz w:val="16"/>
          <w:szCs w:val="16"/>
        </w:rPr>
        <w:t xml:space="preserve"> Fama-French’s minst citerade faktor (Investment). Bolag vars totala tillgångsbas växer extremt fort, dvs dem investerar aggressivt för framtiden, har historiskt underpresterat. Sambandet mellan avkastning och tillgångstillväxt är har varit linjär. Här mäter vi totala tillgångstillväxten över 1 år.</w:t>
      </w:r>
      <w:r w:rsidRPr="006532C7">
        <w:rPr>
          <w:sz w:val="16"/>
          <w:szCs w:val="16"/>
        </w:rPr>
        <w:br/>
      </w:r>
      <m:oMathPara>
        <m:oMathParaPr>
          <m:jc m:val="left"/>
        </m:oMathParaPr>
        <m:oMath>
          <m:f>
            <m:fPr>
              <m:ctrlPr>
                <w:rPr>
                  <w:rFonts w:ascii="Cambria Math" w:hAnsi="Cambria Math"/>
                  <w:i/>
                  <w:sz w:val="16"/>
                  <w:szCs w:val="16"/>
                </w:rPr>
              </m:ctrlPr>
            </m:fPr>
            <m:num>
              <m:r>
                <w:rPr>
                  <w:rFonts w:ascii="Cambria Math" w:hAnsi="Cambria Math"/>
                  <w:sz w:val="16"/>
                  <w:szCs w:val="16"/>
                </w:rPr>
                <m:t>Total Asset</m:t>
              </m:r>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y</m:t>
                  </m:r>
                </m:sub>
              </m:sSub>
              <m:r>
                <w:rPr>
                  <w:rFonts w:ascii="Cambria Math" w:hAnsi="Cambria Math"/>
                  <w:sz w:val="16"/>
                  <w:szCs w:val="16"/>
                </w:rPr>
                <m:t>-Total Asset</m:t>
              </m:r>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y-1</m:t>
                  </m:r>
                </m:sub>
              </m:sSub>
            </m:num>
            <m:den>
              <m:r>
                <w:rPr>
                  <w:rFonts w:ascii="Cambria Math" w:hAnsi="Cambria Math"/>
                  <w:sz w:val="16"/>
                  <w:szCs w:val="16"/>
                </w:rPr>
                <m:t>Total Asset</m:t>
              </m:r>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y-1</m:t>
                  </m:r>
                </m:sub>
              </m:sSub>
            </m:den>
          </m:f>
          <m:r>
            <m:rPr>
              <m:sty m:val="p"/>
            </m:rPr>
            <w:rPr>
              <w:rFonts w:eastAsiaTheme="minorEastAsia"/>
              <w:sz w:val="16"/>
              <w:szCs w:val="16"/>
            </w:rPr>
            <w:br/>
          </m:r>
        </m:oMath>
      </m:oMathPara>
    </w:p>
    <w:p w14:paraId="544219EC" w14:textId="53DDAF1A" w:rsidR="009E5069" w:rsidRPr="006532C7" w:rsidRDefault="009E5069" w:rsidP="009E5069">
      <w:pPr>
        <w:pStyle w:val="ListParagraph"/>
        <w:numPr>
          <w:ilvl w:val="0"/>
          <w:numId w:val="2"/>
        </w:numPr>
        <w:spacing w:line="240" w:lineRule="auto"/>
        <w:rPr>
          <w:sz w:val="16"/>
          <w:szCs w:val="16"/>
          <w:u w:val="single"/>
        </w:rPr>
      </w:pPr>
      <w:r w:rsidRPr="006532C7">
        <w:rPr>
          <w:sz w:val="16"/>
          <w:szCs w:val="16"/>
          <w:u w:val="single"/>
        </w:rPr>
        <w:t xml:space="preserve">Share Dilution – </w:t>
      </w:r>
      <w:r w:rsidRPr="006532C7">
        <w:rPr>
          <w:sz w:val="16"/>
          <w:szCs w:val="16"/>
        </w:rPr>
        <w:t xml:space="preserve">Bolag som emitterar mer aktier, speciellt i stor utsträckning, har historiskt underpresterat i framtiden. Sambandet är linjärt, men det vi just vill se upp med är dem stora emissionerna, där bolaget behövt ta in mycket kapital. Här tittar vi på totala antalet aktier’s utveckling under senaste 3 åren. </w:t>
      </w:r>
      <w:r w:rsidRPr="006532C7">
        <w:rPr>
          <w:sz w:val="16"/>
          <w:szCs w:val="16"/>
        </w:rPr>
        <w:br/>
      </w:r>
      <m:oMathPara>
        <m:oMathParaPr>
          <m:jc m:val="left"/>
        </m:oMathParaPr>
        <m:oMath>
          <m:f>
            <m:fPr>
              <m:ctrlPr>
                <w:rPr>
                  <w:rFonts w:ascii="Cambria Math" w:hAnsi="Cambria Math"/>
                  <w:i/>
                  <w:sz w:val="16"/>
                  <w:szCs w:val="16"/>
                </w:rPr>
              </m:ctrlPr>
            </m:fPr>
            <m:num>
              <m:r>
                <w:rPr>
                  <w:rFonts w:ascii="Cambria Math" w:hAnsi="Cambria Math"/>
                  <w:sz w:val="16"/>
                  <w:szCs w:val="16"/>
                </w:rPr>
                <m:t xml:space="preserve">Number of Stocks </m:t>
              </m:r>
              <m:sSub>
                <m:sSubPr>
                  <m:ctrlPr>
                    <w:rPr>
                      <w:rFonts w:ascii="Cambria Math" w:hAnsi="Cambria Math"/>
                      <w:i/>
                      <w:iCs/>
                      <w:sz w:val="16"/>
                      <w:szCs w:val="16"/>
                    </w:rPr>
                  </m:ctrlPr>
                </m:sSubPr>
                <m:e>
                  <m:r>
                    <w:rPr>
                      <w:rFonts w:ascii="Cambria Math" w:hAnsi="Cambria Math"/>
                      <w:sz w:val="16"/>
                      <w:szCs w:val="16"/>
                    </w:rPr>
                    <m:t>Outstanding</m:t>
                  </m:r>
                </m:e>
                <m:sub>
                  <m:r>
                    <w:rPr>
                      <w:rFonts w:ascii="Cambria Math" w:hAnsi="Cambria Math"/>
                      <w:sz w:val="16"/>
                      <w:szCs w:val="16"/>
                    </w:rPr>
                    <m:t>y</m:t>
                  </m:r>
                </m:sub>
              </m:sSub>
              <m:r>
                <w:rPr>
                  <w:rFonts w:ascii="Cambria Math" w:hAnsi="Cambria Math"/>
                  <w:sz w:val="16"/>
                  <w:szCs w:val="16"/>
                </w:rPr>
                <m:t>-Number of Stocks Outstandin</m:t>
              </m:r>
              <m:sSub>
                <m:sSubPr>
                  <m:ctrlPr>
                    <w:rPr>
                      <w:rFonts w:ascii="Cambria Math" w:hAnsi="Cambria Math"/>
                      <w:i/>
                      <w:sz w:val="16"/>
                      <w:szCs w:val="16"/>
                    </w:rPr>
                  </m:ctrlPr>
                </m:sSubPr>
                <m:e>
                  <m:r>
                    <w:rPr>
                      <w:rFonts w:ascii="Cambria Math" w:hAnsi="Cambria Math"/>
                      <w:sz w:val="16"/>
                      <w:szCs w:val="16"/>
                    </w:rPr>
                    <m:t>g</m:t>
                  </m:r>
                </m:e>
                <m:sub>
                  <m:r>
                    <w:rPr>
                      <w:rFonts w:ascii="Cambria Math" w:hAnsi="Cambria Math"/>
                      <w:sz w:val="16"/>
                      <w:szCs w:val="16"/>
                    </w:rPr>
                    <m:t>y-2</m:t>
                  </m:r>
                </m:sub>
              </m:sSub>
            </m:num>
            <m:den>
              <m:r>
                <w:rPr>
                  <w:rFonts w:ascii="Cambria Math" w:hAnsi="Cambria Math"/>
                  <w:sz w:val="16"/>
                  <w:szCs w:val="16"/>
                </w:rPr>
                <m:t>Number of Stocks Outstandin</m:t>
              </m:r>
              <m:sSub>
                <m:sSubPr>
                  <m:ctrlPr>
                    <w:rPr>
                      <w:rFonts w:ascii="Cambria Math" w:hAnsi="Cambria Math"/>
                      <w:i/>
                      <w:sz w:val="16"/>
                      <w:szCs w:val="16"/>
                    </w:rPr>
                  </m:ctrlPr>
                </m:sSubPr>
                <m:e>
                  <m:r>
                    <w:rPr>
                      <w:rFonts w:ascii="Cambria Math" w:hAnsi="Cambria Math"/>
                      <w:sz w:val="16"/>
                      <w:szCs w:val="16"/>
                    </w:rPr>
                    <m:t>g</m:t>
                  </m:r>
                </m:e>
                <m:sub>
                  <m:r>
                    <w:rPr>
                      <w:rFonts w:ascii="Cambria Math" w:hAnsi="Cambria Math"/>
                      <w:sz w:val="16"/>
                      <w:szCs w:val="16"/>
                    </w:rPr>
                    <m:t>y-2</m:t>
                  </m:r>
                </m:sub>
              </m:sSub>
            </m:den>
          </m:f>
          <m:r>
            <m:rPr>
              <m:sty m:val="p"/>
            </m:rPr>
            <w:rPr>
              <w:rFonts w:eastAsiaTheme="minorEastAsia"/>
              <w:sz w:val="16"/>
              <w:szCs w:val="16"/>
            </w:rPr>
            <w:br/>
          </m:r>
        </m:oMath>
      </m:oMathPara>
    </w:p>
    <w:p w14:paraId="06E95C3D" w14:textId="77777777" w:rsidR="009E5069" w:rsidRPr="006532C7" w:rsidRDefault="009E5069" w:rsidP="009E5069">
      <w:pPr>
        <w:pStyle w:val="ListParagraph"/>
        <w:numPr>
          <w:ilvl w:val="0"/>
          <w:numId w:val="2"/>
        </w:numPr>
        <w:spacing w:line="240" w:lineRule="auto"/>
        <w:rPr>
          <w:sz w:val="16"/>
          <w:szCs w:val="16"/>
          <w:u w:val="single"/>
        </w:rPr>
      </w:pPr>
      <w:r w:rsidRPr="006532C7">
        <w:rPr>
          <w:sz w:val="16"/>
          <w:szCs w:val="16"/>
          <w:u w:val="single"/>
        </w:rPr>
        <w:t xml:space="preserve">Capital Intensity – </w:t>
      </w:r>
      <w:r w:rsidRPr="006532C7">
        <w:rPr>
          <w:sz w:val="16"/>
          <w:szCs w:val="16"/>
        </w:rPr>
        <w:t>Dem bolag med högst CapEx-tillväxt, eller höga kapitalkostnader i förhållande till sin vinstgenerering har historiskt underpresterat. Dem är dyra att driva, och det har historiskt setts på aktiekursens utveckling framgent. Vi tittar på CapEx i förhållande till kassaflöde från verksamheten.</w:t>
      </w:r>
      <w:r w:rsidRPr="006532C7">
        <w:rPr>
          <w:sz w:val="16"/>
          <w:szCs w:val="16"/>
        </w:rPr>
        <w:br/>
      </w:r>
      <m:oMathPara>
        <m:oMathParaPr>
          <m:jc m:val="left"/>
        </m:oMathParaPr>
        <m:oMath>
          <m:f>
            <m:fPr>
              <m:ctrlPr>
                <w:rPr>
                  <w:rFonts w:ascii="Cambria Math" w:hAnsi="Cambria Math"/>
                  <w:i/>
                  <w:sz w:val="16"/>
                  <w:szCs w:val="16"/>
                </w:rPr>
              </m:ctrlPr>
            </m:fPr>
            <m:num>
              <m:r>
                <w:rPr>
                  <w:rFonts w:ascii="Cambria Math" w:hAnsi="Cambria Math"/>
                  <w:sz w:val="16"/>
                  <w:szCs w:val="16"/>
                </w:rPr>
                <m:t>CapEx</m:t>
              </m:r>
            </m:num>
            <m:den>
              <m:r>
                <w:rPr>
                  <w:rFonts w:ascii="Cambria Math" w:hAnsi="Cambria Math"/>
                  <w:sz w:val="16"/>
                  <w:szCs w:val="16"/>
                </w:rPr>
                <m:t>Cash flow from operations</m:t>
              </m:r>
            </m:den>
          </m:f>
        </m:oMath>
      </m:oMathPara>
    </w:p>
    <w:p w14:paraId="41843A0C" w14:textId="1DD4626D" w:rsidR="009E5069" w:rsidRPr="006532C7" w:rsidRDefault="009E5069" w:rsidP="009E5069">
      <w:pPr>
        <w:spacing w:line="240" w:lineRule="auto"/>
        <w:rPr>
          <w:sz w:val="16"/>
          <w:szCs w:val="16"/>
          <w:lang w:val="en-US"/>
        </w:rPr>
      </w:pPr>
      <w:r w:rsidRPr="006532C7">
        <w:rPr>
          <w:sz w:val="16"/>
          <w:szCs w:val="16"/>
        </w:rPr>
        <w:t xml:space="preserve">Vi rangordnar alla bolag (som är kvar efter steg 1) efter dessa parametrar (likaviktat) och skapar ett komposit-mått jag kallar Red Flag Composite. </w:t>
      </w:r>
      <w:r w:rsidRPr="006532C7">
        <w:rPr>
          <w:b/>
          <w:bCs/>
          <w:sz w:val="16"/>
          <w:szCs w:val="16"/>
          <w:lang w:val="en-US"/>
        </w:rPr>
        <w:t xml:space="preserve">De </w:t>
      </w:r>
      <w:proofErr w:type="spellStart"/>
      <w:r w:rsidRPr="006532C7">
        <w:rPr>
          <w:b/>
          <w:bCs/>
          <w:sz w:val="16"/>
          <w:szCs w:val="16"/>
          <w:lang w:val="en-US"/>
        </w:rPr>
        <w:t>sämsta</w:t>
      </w:r>
      <w:proofErr w:type="spellEnd"/>
      <w:r w:rsidRPr="006532C7">
        <w:rPr>
          <w:b/>
          <w:bCs/>
          <w:sz w:val="16"/>
          <w:szCs w:val="16"/>
          <w:lang w:val="en-US"/>
        </w:rPr>
        <w:t xml:space="preserve"> 5% </w:t>
      </w:r>
      <w:proofErr w:type="spellStart"/>
      <w:r w:rsidRPr="006532C7">
        <w:rPr>
          <w:b/>
          <w:bCs/>
          <w:sz w:val="16"/>
          <w:szCs w:val="16"/>
          <w:lang w:val="en-US"/>
        </w:rPr>
        <w:t>åker</w:t>
      </w:r>
      <w:proofErr w:type="spellEnd"/>
      <w:r w:rsidRPr="006532C7">
        <w:rPr>
          <w:b/>
          <w:bCs/>
          <w:sz w:val="16"/>
          <w:szCs w:val="16"/>
          <w:lang w:val="en-US"/>
        </w:rPr>
        <w:t xml:space="preserve"> </w:t>
      </w:r>
      <w:proofErr w:type="spellStart"/>
      <w:r w:rsidRPr="006532C7">
        <w:rPr>
          <w:b/>
          <w:bCs/>
          <w:sz w:val="16"/>
          <w:szCs w:val="16"/>
          <w:lang w:val="en-US"/>
        </w:rPr>
        <w:t>ut.</w:t>
      </w:r>
      <w:proofErr w:type="spellEnd"/>
    </w:p>
    <w:p w14:paraId="08B3A672" w14:textId="77777777" w:rsidR="009E5069" w:rsidRPr="006532C7" w:rsidRDefault="009E5069" w:rsidP="009E5069">
      <w:pPr>
        <w:spacing w:line="240" w:lineRule="auto"/>
        <w:rPr>
          <w:sz w:val="16"/>
          <w:szCs w:val="16"/>
          <w:lang w:val="en-US"/>
        </w:rPr>
      </w:pPr>
      <w:r w:rsidRPr="006532C7">
        <w:rPr>
          <w:sz w:val="16"/>
          <w:szCs w:val="16"/>
          <w:lang w:val="en-US"/>
        </w:rPr>
        <w:t xml:space="preserve">För </w:t>
      </w:r>
      <w:proofErr w:type="spellStart"/>
      <w:r w:rsidRPr="006532C7">
        <w:rPr>
          <w:sz w:val="16"/>
          <w:szCs w:val="16"/>
          <w:lang w:val="en-US"/>
        </w:rPr>
        <w:t>mer</w:t>
      </w:r>
      <w:proofErr w:type="spellEnd"/>
      <w:r w:rsidRPr="006532C7">
        <w:rPr>
          <w:sz w:val="16"/>
          <w:szCs w:val="16"/>
          <w:lang w:val="en-US"/>
        </w:rPr>
        <w:t xml:space="preserve"> </w:t>
      </w:r>
      <w:proofErr w:type="spellStart"/>
      <w:r w:rsidRPr="006532C7">
        <w:rPr>
          <w:sz w:val="16"/>
          <w:szCs w:val="16"/>
          <w:lang w:val="en-US"/>
        </w:rPr>
        <w:t>läsning</w:t>
      </w:r>
      <w:proofErr w:type="spellEnd"/>
      <w:r w:rsidRPr="006532C7">
        <w:rPr>
          <w:sz w:val="16"/>
          <w:szCs w:val="16"/>
          <w:lang w:val="en-US"/>
        </w:rPr>
        <w:t xml:space="preserve">, se bland </w:t>
      </w:r>
      <w:proofErr w:type="spellStart"/>
      <w:r w:rsidRPr="006532C7">
        <w:rPr>
          <w:sz w:val="16"/>
          <w:szCs w:val="16"/>
          <w:lang w:val="en-US"/>
        </w:rPr>
        <w:t>annat</w:t>
      </w:r>
      <w:proofErr w:type="spellEnd"/>
      <w:proofErr w:type="gramStart"/>
      <w:r w:rsidRPr="006532C7">
        <w:rPr>
          <w:sz w:val="16"/>
          <w:szCs w:val="16"/>
          <w:lang w:val="en-US"/>
        </w:rPr>
        <w:t>: ”Do</w:t>
      </w:r>
      <w:proofErr w:type="gramEnd"/>
      <w:r w:rsidRPr="006532C7">
        <w:rPr>
          <w:sz w:val="16"/>
          <w:szCs w:val="16"/>
          <w:lang w:val="en-US"/>
        </w:rPr>
        <w:t xml:space="preserve"> stock Prices Fully Reflect Information in Accruals and Cash Flows about future Earnings” av Richard G. Sloan, “The Detection of Earnings Manipulation” av </w:t>
      </w:r>
      <w:proofErr w:type="spellStart"/>
      <w:r w:rsidRPr="006532C7">
        <w:rPr>
          <w:sz w:val="16"/>
          <w:szCs w:val="16"/>
          <w:lang w:val="en-US"/>
        </w:rPr>
        <w:t>Beneish</w:t>
      </w:r>
      <w:proofErr w:type="spellEnd"/>
      <w:r w:rsidRPr="006532C7">
        <w:rPr>
          <w:sz w:val="16"/>
          <w:szCs w:val="16"/>
          <w:lang w:val="en-US"/>
        </w:rPr>
        <w:t xml:space="preserve">, “Mind Matters – Cooking the books, or, More sailing under the black flag” av </w:t>
      </w:r>
      <w:proofErr w:type="spellStart"/>
      <w:r w:rsidRPr="006532C7">
        <w:rPr>
          <w:sz w:val="16"/>
          <w:szCs w:val="16"/>
          <w:lang w:val="en-US"/>
        </w:rPr>
        <w:t>Montier</w:t>
      </w:r>
      <w:proofErr w:type="spellEnd"/>
      <w:r w:rsidRPr="006532C7">
        <w:rPr>
          <w:sz w:val="16"/>
          <w:szCs w:val="16"/>
          <w:lang w:val="en-US"/>
        </w:rPr>
        <w:t xml:space="preserve">, “In Search of Distress Risk av </w:t>
      </w:r>
      <w:proofErr w:type="spellStart"/>
      <w:r w:rsidRPr="006532C7">
        <w:rPr>
          <w:sz w:val="16"/>
          <w:szCs w:val="16"/>
          <w:lang w:val="en-US"/>
        </w:rPr>
        <w:t>Cambell</w:t>
      </w:r>
      <w:proofErr w:type="spellEnd"/>
      <w:r w:rsidRPr="006532C7">
        <w:rPr>
          <w:sz w:val="16"/>
          <w:szCs w:val="16"/>
          <w:lang w:val="en-US"/>
        </w:rPr>
        <w:t xml:space="preserve"> et al)</w:t>
      </w:r>
    </w:p>
    <w:p w14:paraId="6F050CD9" w14:textId="77777777" w:rsidR="009E5069" w:rsidRPr="006532C7" w:rsidRDefault="009E5069" w:rsidP="009E5069">
      <w:pPr>
        <w:rPr>
          <w:sz w:val="16"/>
          <w:szCs w:val="16"/>
          <w:lang w:val="en-US"/>
        </w:rPr>
      </w:pPr>
      <w:r w:rsidRPr="006532C7">
        <w:rPr>
          <w:sz w:val="16"/>
          <w:szCs w:val="16"/>
          <w:lang w:val="en-US"/>
        </w:rPr>
        <w:br w:type="page"/>
      </w:r>
    </w:p>
    <w:p w14:paraId="2FCACBD5" w14:textId="77777777" w:rsidR="009E5069" w:rsidRPr="006532C7" w:rsidRDefault="009E5069" w:rsidP="009E5069">
      <w:pPr>
        <w:pStyle w:val="Heading1"/>
        <w:rPr>
          <w:sz w:val="16"/>
          <w:szCs w:val="16"/>
        </w:rPr>
      </w:pPr>
      <w:r w:rsidRPr="006532C7">
        <w:rPr>
          <w:sz w:val="16"/>
          <w:szCs w:val="16"/>
        </w:rPr>
        <w:lastRenderedPageBreak/>
        <w:t>Steg 3 – Hitta Värde</w:t>
      </w:r>
    </w:p>
    <w:p w14:paraId="11FA6C8B" w14:textId="27F1350A" w:rsidR="009E5069" w:rsidRPr="006532C7" w:rsidRDefault="009E5069" w:rsidP="009E5069">
      <w:pPr>
        <w:spacing w:line="240" w:lineRule="auto"/>
        <w:rPr>
          <w:sz w:val="16"/>
          <w:szCs w:val="16"/>
        </w:rPr>
      </w:pPr>
      <w:r w:rsidRPr="006532C7">
        <w:rPr>
          <w:sz w:val="16"/>
          <w:szCs w:val="16"/>
        </w:rPr>
        <w:t>En av dem mest kända investeringsstrategierna, faktorerna eller anomalierna (kalla det vad du vill); bolag med låga prismultiplar (pris i förhållande till något fundamenta) har historiskt överpresterat. Varesig det är risk, under-prissättning eller en kombination. Utöver att titta på multiplar för både resultaträkning och kassaflödes analysen, hittar jag även på förhållandet mellan multiplar och lönsamhetsmått och tillväxtmått</w:t>
      </w:r>
      <w:r w:rsidR="00EB1689" w:rsidRPr="006532C7">
        <w:rPr>
          <w:sz w:val="16"/>
          <w:szCs w:val="16"/>
        </w:rPr>
        <w:t xml:space="preserve"> (Companion Variables – fundamenta som skall teoretiskt förklara nivån på multipeln)</w:t>
      </w:r>
      <w:r w:rsidRPr="006532C7">
        <w:rPr>
          <w:sz w:val="16"/>
          <w:szCs w:val="16"/>
        </w:rPr>
        <w:t>.</w:t>
      </w:r>
    </w:p>
    <w:p w14:paraId="4F22D2E2" w14:textId="77777777" w:rsidR="009E5069" w:rsidRPr="006532C7" w:rsidRDefault="009E5069" w:rsidP="009E5069">
      <w:pPr>
        <w:pStyle w:val="ListParagraph"/>
        <w:numPr>
          <w:ilvl w:val="0"/>
          <w:numId w:val="3"/>
        </w:numPr>
        <w:spacing w:line="240" w:lineRule="auto"/>
        <w:rPr>
          <w:sz w:val="16"/>
          <w:szCs w:val="16"/>
        </w:rPr>
      </w:pPr>
      <w:r w:rsidRPr="006532C7">
        <w:rPr>
          <w:sz w:val="16"/>
          <w:szCs w:val="16"/>
          <w:u w:val="single"/>
        </w:rPr>
        <w:t xml:space="preserve">Enterprise Yield  - </w:t>
      </w:r>
      <w:r w:rsidRPr="006532C7">
        <w:rPr>
          <w:sz w:val="16"/>
          <w:szCs w:val="16"/>
        </w:rPr>
        <w:t xml:space="preserve"> En av de mest vanliga multiplarna idag, fungerat bra historiskt. Ett P/E-tal på steroider. Justerar för skuldsättningen i bolaget, och tittar på vinsten lite högre upp, vilket underlättar jämförelser med andra bolag med andra kapitalstrukturer etc.</w:t>
      </w:r>
      <w:r w:rsidRPr="006532C7">
        <w:rPr>
          <w:sz w:val="16"/>
          <w:szCs w:val="16"/>
        </w:rPr>
        <w:br/>
      </w:r>
      <m:oMathPara>
        <m:oMathParaPr>
          <m:jc m:val="left"/>
        </m:oMathParaPr>
        <m:oMath>
          <m:r>
            <w:rPr>
              <w:rFonts w:ascii="Cambria Math" w:hAnsi="Cambria Math"/>
              <w:sz w:val="16"/>
              <w:szCs w:val="16"/>
            </w:rPr>
            <m:t>Enterprise Yield=</m:t>
          </m:r>
          <m:f>
            <m:fPr>
              <m:ctrlPr>
                <w:rPr>
                  <w:rFonts w:ascii="Cambria Math" w:hAnsi="Cambria Math"/>
                  <w:i/>
                  <w:sz w:val="16"/>
                  <w:szCs w:val="16"/>
                </w:rPr>
              </m:ctrlPr>
            </m:fPr>
            <m:num>
              <m:r>
                <w:rPr>
                  <w:rFonts w:ascii="Cambria Math" w:hAnsi="Cambria Math"/>
                  <w:sz w:val="16"/>
                  <w:szCs w:val="16"/>
                </w:rPr>
                <m:t>Enterprise Value</m:t>
              </m:r>
            </m:num>
            <m:den>
              <m:r>
                <w:rPr>
                  <w:rFonts w:ascii="Cambria Math" w:hAnsi="Cambria Math"/>
                  <w:sz w:val="16"/>
                  <w:szCs w:val="16"/>
                </w:rPr>
                <m:t>EBIT</m:t>
              </m:r>
            </m:den>
          </m:f>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EV</m:t>
              </m:r>
            </m:num>
            <m:den>
              <m:r>
                <w:rPr>
                  <w:rFonts w:ascii="Cambria Math" w:hAnsi="Cambria Math"/>
                  <w:sz w:val="16"/>
                  <w:szCs w:val="16"/>
                </w:rPr>
                <m:t>EBIT</m:t>
              </m:r>
            </m:den>
          </m:f>
          <m:r>
            <m:rPr>
              <m:sty m:val="p"/>
            </m:rPr>
            <w:rPr>
              <w:rFonts w:eastAsiaTheme="minorEastAsia"/>
              <w:sz w:val="16"/>
              <w:szCs w:val="16"/>
            </w:rPr>
            <w:br/>
          </m:r>
        </m:oMath>
      </m:oMathPara>
    </w:p>
    <w:p w14:paraId="0600FF66" w14:textId="018E9C53" w:rsidR="009E5069" w:rsidRPr="006532C7" w:rsidRDefault="009E5069" w:rsidP="009E5069">
      <w:pPr>
        <w:pStyle w:val="ListParagraph"/>
        <w:numPr>
          <w:ilvl w:val="0"/>
          <w:numId w:val="3"/>
        </w:numPr>
        <w:spacing w:line="240" w:lineRule="auto"/>
        <w:rPr>
          <w:sz w:val="16"/>
          <w:szCs w:val="16"/>
        </w:rPr>
      </w:pPr>
      <w:r w:rsidRPr="006532C7">
        <w:rPr>
          <w:sz w:val="16"/>
          <w:szCs w:val="16"/>
          <w:u w:val="single"/>
        </w:rPr>
        <w:t>Growth Yield  -</w:t>
      </w:r>
      <w:r w:rsidRPr="006532C7">
        <w:rPr>
          <w:sz w:val="16"/>
          <w:szCs w:val="16"/>
        </w:rPr>
        <w:t xml:space="preserve"> I sann Lynch-anda jämför vi multipeln med bolagets tillväxttakt. Här används historiska tillväxten över 5 år, och vi tittar på tillväxten på EBIT, av samma anledning som ovan. Till skillnad från vanliga PEG används även här EV/EBIT, se nedan.</w:t>
      </w:r>
      <w:r w:rsidRPr="006532C7">
        <w:rPr>
          <w:sz w:val="16"/>
          <w:szCs w:val="16"/>
        </w:rPr>
        <w:br/>
      </w:r>
      <m:oMathPara>
        <m:oMathParaPr>
          <m:jc m:val="left"/>
        </m:oMathParaPr>
        <m:oMath>
          <m:r>
            <w:rPr>
              <w:rFonts w:ascii="Cambria Math" w:hAnsi="Cambria Math"/>
              <w:sz w:val="16"/>
              <w:szCs w:val="16"/>
            </w:rPr>
            <m:t>Growth Yield=</m:t>
          </m:r>
          <m:f>
            <m:fPr>
              <m:ctrlPr>
                <w:rPr>
                  <w:rFonts w:ascii="Cambria Math" w:hAnsi="Cambria Math"/>
                  <w:i/>
                  <w:sz w:val="16"/>
                  <w:szCs w:val="16"/>
                </w:rPr>
              </m:ctrlPr>
            </m:fPr>
            <m:num>
              <m:f>
                <m:fPr>
                  <m:ctrlPr>
                    <w:rPr>
                      <w:rFonts w:ascii="Cambria Math" w:hAnsi="Cambria Math"/>
                      <w:i/>
                      <w:sz w:val="16"/>
                      <w:szCs w:val="16"/>
                    </w:rPr>
                  </m:ctrlPr>
                </m:fPr>
                <m:num>
                  <m:r>
                    <w:rPr>
                      <w:rFonts w:ascii="Cambria Math" w:hAnsi="Cambria Math"/>
                      <w:sz w:val="16"/>
                      <w:szCs w:val="16"/>
                    </w:rPr>
                    <m:t>EV</m:t>
                  </m:r>
                </m:num>
                <m:den>
                  <m:r>
                    <w:rPr>
                      <w:rFonts w:ascii="Cambria Math" w:hAnsi="Cambria Math"/>
                      <w:sz w:val="16"/>
                      <w:szCs w:val="16"/>
                    </w:rPr>
                    <m:t>EBIT</m:t>
                  </m:r>
                </m:den>
              </m:f>
            </m:num>
            <m:den>
              <m:r>
                <w:rPr>
                  <w:rFonts w:ascii="Cambria Math" w:hAnsi="Cambria Math"/>
                  <w:sz w:val="16"/>
                  <w:szCs w:val="16"/>
                </w:rPr>
                <m:t>7</m:t>
              </m:r>
              <m:r>
                <w:rPr>
                  <w:rFonts w:ascii="Cambria Math" w:hAnsi="Cambria Math"/>
                  <w:sz w:val="16"/>
                  <w:szCs w:val="16"/>
                </w:rPr>
                <m:t>year CAGR EBIT growth</m:t>
              </m:r>
            </m:den>
          </m:f>
          <m:r>
            <m:rPr>
              <m:sty m:val="p"/>
            </m:rPr>
            <w:rPr>
              <w:rFonts w:eastAsiaTheme="minorEastAsia"/>
              <w:sz w:val="16"/>
              <w:szCs w:val="16"/>
            </w:rPr>
            <w:br/>
          </m:r>
        </m:oMath>
      </m:oMathPara>
    </w:p>
    <w:p w14:paraId="6F52909E" w14:textId="79F80685" w:rsidR="009E5069" w:rsidRPr="006532C7" w:rsidRDefault="009E5069" w:rsidP="009E5069">
      <w:pPr>
        <w:pStyle w:val="ListParagraph"/>
        <w:numPr>
          <w:ilvl w:val="0"/>
          <w:numId w:val="3"/>
        </w:numPr>
        <w:spacing w:line="240" w:lineRule="auto"/>
        <w:rPr>
          <w:sz w:val="16"/>
          <w:szCs w:val="16"/>
        </w:rPr>
      </w:pPr>
      <w:r w:rsidRPr="006532C7">
        <w:rPr>
          <w:sz w:val="16"/>
          <w:szCs w:val="16"/>
          <w:u w:val="single"/>
        </w:rPr>
        <w:t xml:space="preserve">Return Yield – </w:t>
      </w:r>
      <w:r w:rsidRPr="006532C7">
        <w:rPr>
          <w:sz w:val="16"/>
          <w:szCs w:val="16"/>
        </w:rPr>
        <w:t xml:space="preserve">Med inspiration från Greenblatt’s Magic Formula justerar vi även multipeln I förhållande till ett lönsamhetsmått. Min favorit, då den dels fungerat bäst historiskt, </w:t>
      </w:r>
      <w:proofErr w:type="gramStart"/>
      <w:r w:rsidRPr="006532C7">
        <w:rPr>
          <w:sz w:val="16"/>
          <w:szCs w:val="16"/>
        </w:rPr>
        <w:t>samt</w:t>
      </w:r>
      <w:proofErr w:type="gramEnd"/>
      <w:r w:rsidRPr="006532C7">
        <w:rPr>
          <w:sz w:val="16"/>
          <w:szCs w:val="16"/>
        </w:rPr>
        <w:t xml:space="preserve"> är en av få nyckeltal som har lite statistisk förklarande kraft för bolagets framtida tillväxt, är bruttomarginalen, även denna snittet över 5 år.</w:t>
      </w:r>
      <w:r w:rsidRPr="006532C7">
        <w:rPr>
          <w:sz w:val="16"/>
          <w:szCs w:val="16"/>
        </w:rPr>
        <w:br/>
      </w:r>
      <m:oMathPara>
        <m:oMathParaPr>
          <m:jc m:val="left"/>
        </m:oMathParaPr>
        <m:oMath>
          <m:r>
            <w:rPr>
              <w:rFonts w:ascii="Cambria Math" w:hAnsi="Cambria Math"/>
              <w:sz w:val="16"/>
              <w:szCs w:val="16"/>
            </w:rPr>
            <m:t>Return Yield=</m:t>
          </m:r>
          <m:f>
            <m:fPr>
              <m:ctrlPr>
                <w:rPr>
                  <w:rFonts w:ascii="Cambria Math" w:hAnsi="Cambria Math"/>
                  <w:i/>
                  <w:sz w:val="16"/>
                  <w:szCs w:val="16"/>
                </w:rPr>
              </m:ctrlPr>
            </m:fPr>
            <m:num>
              <m:f>
                <m:fPr>
                  <m:ctrlPr>
                    <w:rPr>
                      <w:rFonts w:ascii="Cambria Math" w:hAnsi="Cambria Math"/>
                      <w:i/>
                      <w:sz w:val="16"/>
                      <w:szCs w:val="16"/>
                    </w:rPr>
                  </m:ctrlPr>
                </m:fPr>
                <m:num>
                  <m:r>
                    <w:rPr>
                      <w:rFonts w:ascii="Cambria Math" w:hAnsi="Cambria Math"/>
                      <w:sz w:val="16"/>
                      <w:szCs w:val="16"/>
                    </w:rPr>
                    <m:t>EV</m:t>
                  </m:r>
                </m:num>
                <m:den>
                  <m:r>
                    <w:rPr>
                      <w:rFonts w:ascii="Cambria Math" w:hAnsi="Cambria Math"/>
                      <w:sz w:val="16"/>
                      <w:szCs w:val="16"/>
                    </w:rPr>
                    <m:t>EBIT</m:t>
                  </m:r>
                </m:den>
              </m:f>
            </m:num>
            <m:den>
              <m:r>
                <w:rPr>
                  <w:rFonts w:ascii="Cambria Math" w:hAnsi="Cambria Math"/>
                  <w:sz w:val="16"/>
                  <w:szCs w:val="16"/>
                </w:rPr>
                <m:t>7</m:t>
              </m:r>
              <m:r>
                <w:rPr>
                  <w:rFonts w:ascii="Cambria Math" w:hAnsi="Cambria Math"/>
                  <w:sz w:val="16"/>
                  <w:szCs w:val="16"/>
                </w:rPr>
                <m:t xml:space="preserve"> year average RO</m:t>
              </m:r>
              <m:r>
                <w:rPr>
                  <w:rFonts w:ascii="Cambria Math" w:hAnsi="Cambria Math"/>
                  <w:sz w:val="16"/>
                  <w:szCs w:val="16"/>
                </w:rPr>
                <m:t>C</m:t>
              </m:r>
            </m:den>
          </m:f>
          <m:r>
            <m:rPr>
              <m:sty m:val="p"/>
            </m:rPr>
            <w:rPr>
              <w:rFonts w:eastAsiaTheme="minorEastAsia"/>
              <w:sz w:val="16"/>
              <w:szCs w:val="16"/>
            </w:rPr>
            <w:br/>
          </m:r>
        </m:oMath>
      </m:oMathPara>
    </w:p>
    <w:p w14:paraId="5ABD411D" w14:textId="5BF14CF6" w:rsidR="006532C7" w:rsidRPr="006532C7" w:rsidRDefault="006532C7" w:rsidP="009E5069">
      <w:pPr>
        <w:pStyle w:val="ListParagraph"/>
        <w:numPr>
          <w:ilvl w:val="0"/>
          <w:numId w:val="3"/>
        </w:numPr>
        <w:spacing w:line="240" w:lineRule="auto"/>
        <w:rPr>
          <w:sz w:val="16"/>
          <w:szCs w:val="16"/>
        </w:rPr>
      </w:pPr>
      <w:r w:rsidRPr="006532C7">
        <w:rPr>
          <w:sz w:val="16"/>
          <w:szCs w:val="16"/>
          <w:u w:val="single"/>
        </w:rPr>
        <w:t xml:space="preserve">Margin Yield – </w:t>
      </w:r>
      <w:r w:rsidRPr="006532C7">
        <w:rPr>
          <w:sz w:val="16"/>
          <w:szCs w:val="16"/>
        </w:rPr>
        <w:t>Vi har tagit hänsyn till lönsamheten i form av hur mycket kapital som går åt för att generera resultat, men vi vill även korrigera för marginalen, dvs hur mycket omsättning som går åt för att generera resultat.</w:t>
      </w:r>
    </w:p>
    <w:p w14:paraId="53226604" w14:textId="2F1CA530" w:rsidR="006532C7" w:rsidRPr="006532C7" w:rsidRDefault="006532C7" w:rsidP="006532C7">
      <w:pPr>
        <w:pStyle w:val="ListParagraph"/>
        <w:spacing w:line="240" w:lineRule="auto"/>
        <w:rPr>
          <w:sz w:val="16"/>
          <w:szCs w:val="16"/>
        </w:rPr>
      </w:pPr>
      <m:oMathPara>
        <m:oMathParaPr>
          <m:jc m:val="left"/>
        </m:oMathParaPr>
        <m:oMath>
          <m:r>
            <w:rPr>
              <w:rFonts w:ascii="Cambria Math" w:hAnsi="Cambria Math"/>
              <w:sz w:val="16"/>
              <w:szCs w:val="16"/>
            </w:rPr>
            <m:t>Margin Yield=</m:t>
          </m:r>
          <m:f>
            <m:fPr>
              <m:ctrlPr>
                <w:rPr>
                  <w:rFonts w:ascii="Cambria Math" w:hAnsi="Cambria Math"/>
                  <w:i/>
                  <w:sz w:val="16"/>
                  <w:szCs w:val="16"/>
                </w:rPr>
              </m:ctrlPr>
            </m:fPr>
            <m:num>
              <m:f>
                <m:fPr>
                  <m:ctrlPr>
                    <w:rPr>
                      <w:rFonts w:ascii="Cambria Math" w:hAnsi="Cambria Math"/>
                      <w:i/>
                      <w:sz w:val="16"/>
                      <w:szCs w:val="16"/>
                    </w:rPr>
                  </m:ctrlPr>
                </m:fPr>
                <m:num>
                  <m:r>
                    <w:rPr>
                      <w:rFonts w:ascii="Cambria Math" w:hAnsi="Cambria Math"/>
                      <w:sz w:val="16"/>
                      <w:szCs w:val="16"/>
                    </w:rPr>
                    <m:t>EV</m:t>
                  </m:r>
                </m:num>
                <m:den>
                  <m:r>
                    <w:rPr>
                      <w:rFonts w:ascii="Cambria Math" w:hAnsi="Cambria Math"/>
                      <w:sz w:val="16"/>
                      <w:szCs w:val="16"/>
                    </w:rPr>
                    <m:t>EBIT</m:t>
                  </m:r>
                </m:den>
              </m:f>
            </m:num>
            <m:den>
              <m:r>
                <w:rPr>
                  <w:rFonts w:ascii="Cambria Math" w:hAnsi="Cambria Math"/>
                  <w:sz w:val="16"/>
                  <w:szCs w:val="16"/>
                </w:rPr>
                <m:t>7</m:t>
              </m:r>
              <m:r>
                <w:rPr>
                  <w:rFonts w:ascii="Cambria Math" w:hAnsi="Cambria Math"/>
                  <w:sz w:val="16"/>
                  <w:szCs w:val="16"/>
                </w:rPr>
                <m:t xml:space="preserve"> year average </m:t>
              </m:r>
              <m:r>
                <w:rPr>
                  <w:rFonts w:ascii="Cambria Math" w:hAnsi="Cambria Math"/>
                  <w:sz w:val="16"/>
                  <w:szCs w:val="16"/>
                </w:rPr>
                <m:t>Gross</m:t>
              </m:r>
              <m:r>
                <w:rPr>
                  <w:rFonts w:ascii="Cambria Math" w:hAnsi="Cambria Math"/>
                  <w:sz w:val="16"/>
                  <w:szCs w:val="16"/>
                </w:rPr>
                <m:t xml:space="preserve"> Margin</m:t>
              </m:r>
            </m:den>
          </m:f>
        </m:oMath>
      </m:oMathPara>
    </w:p>
    <w:p w14:paraId="4D82EFD0" w14:textId="32C530B1" w:rsidR="009E5069" w:rsidRPr="006532C7" w:rsidRDefault="006532C7" w:rsidP="009E5069">
      <w:pPr>
        <w:pStyle w:val="ListParagraph"/>
        <w:numPr>
          <w:ilvl w:val="0"/>
          <w:numId w:val="3"/>
        </w:numPr>
        <w:spacing w:line="240" w:lineRule="auto"/>
        <w:rPr>
          <w:sz w:val="16"/>
          <w:szCs w:val="16"/>
        </w:rPr>
      </w:pPr>
      <w:r>
        <w:rPr>
          <w:sz w:val="16"/>
          <w:szCs w:val="16"/>
          <w:u w:val="single"/>
        </w:rPr>
        <w:br/>
      </w:r>
      <w:r w:rsidR="009E5069" w:rsidRPr="006532C7">
        <w:rPr>
          <w:sz w:val="16"/>
          <w:szCs w:val="16"/>
          <w:u w:val="single"/>
        </w:rPr>
        <w:t xml:space="preserve">Cash Flow Yield – </w:t>
      </w:r>
      <w:r w:rsidR="009E5069" w:rsidRPr="006532C7">
        <w:rPr>
          <w:sz w:val="16"/>
          <w:szCs w:val="16"/>
        </w:rPr>
        <w:t>Här diversifierar vi oss ut från resultaträkningen och tittar på det faktiska fria kassaflödet. Har historiskt fungerat väl tillsammans med andra multiplar (se WWOWT). Jag använder EV/FCF.</w:t>
      </w:r>
      <w:r w:rsidR="009E5069" w:rsidRPr="006532C7">
        <w:rPr>
          <w:sz w:val="16"/>
          <w:szCs w:val="16"/>
        </w:rPr>
        <w:br/>
      </w:r>
      <m:oMathPara>
        <m:oMathParaPr>
          <m:jc m:val="left"/>
        </m:oMathParaPr>
        <m:oMath>
          <m:r>
            <w:rPr>
              <w:rFonts w:ascii="Cambria Math" w:hAnsi="Cambria Math"/>
              <w:sz w:val="16"/>
              <w:szCs w:val="16"/>
            </w:rPr>
            <m:t>Cash Fow Yield=</m:t>
          </m:r>
          <m:f>
            <m:fPr>
              <m:ctrlPr>
                <w:rPr>
                  <w:rFonts w:ascii="Cambria Math" w:hAnsi="Cambria Math"/>
                  <w:i/>
                  <w:sz w:val="16"/>
                  <w:szCs w:val="16"/>
                </w:rPr>
              </m:ctrlPr>
            </m:fPr>
            <m:num>
              <m:r>
                <w:rPr>
                  <w:rFonts w:ascii="Cambria Math" w:hAnsi="Cambria Math"/>
                  <w:sz w:val="16"/>
                  <w:szCs w:val="16"/>
                </w:rPr>
                <m:t>EV</m:t>
              </m:r>
            </m:num>
            <m:den>
              <m:r>
                <w:rPr>
                  <w:rFonts w:ascii="Cambria Math" w:hAnsi="Cambria Math"/>
                  <w:sz w:val="16"/>
                  <w:szCs w:val="16"/>
                </w:rPr>
                <m:t>Free Cash Flow</m:t>
              </m:r>
            </m:den>
          </m:f>
          <m:r>
            <w:rPr>
              <w:rFonts w:ascii="Cambria Math" w:hAnsi="Cambria Math"/>
              <w:sz w:val="16"/>
              <w:szCs w:val="16"/>
            </w:rPr>
            <m:t xml:space="preserve"> </m:t>
          </m:r>
          <m:r>
            <m:rPr>
              <m:sty m:val="p"/>
            </m:rPr>
            <w:rPr>
              <w:rFonts w:eastAsiaTheme="minorEastAsia"/>
              <w:sz w:val="16"/>
              <w:szCs w:val="16"/>
            </w:rPr>
            <w:br/>
          </m:r>
        </m:oMath>
      </m:oMathPara>
    </w:p>
    <w:p w14:paraId="3336E67D" w14:textId="2A144952" w:rsidR="009E5069" w:rsidRPr="006532C7" w:rsidRDefault="009E5069" w:rsidP="009E5069">
      <w:pPr>
        <w:pStyle w:val="ListParagraph"/>
        <w:numPr>
          <w:ilvl w:val="0"/>
          <w:numId w:val="3"/>
        </w:numPr>
        <w:spacing w:line="240" w:lineRule="auto"/>
        <w:rPr>
          <w:sz w:val="16"/>
          <w:szCs w:val="16"/>
        </w:rPr>
      </w:pPr>
      <w:r w:rsidRPr="006532C7">
        <w:rPr>
          <w:sz w:val="16"/>
          <w:szCs w:val="16"/>
          <w:u w:val="single"/>
        </w:rPr>
        <w:t>Earnings Yield –</w:t>
      </w:r>
      <w:r w:rsidRPr="006532C7">
        <w:rPr>
          <w:rFonts w:eastAsiaTheme="minorEastAsia"/>
          <w:sz w:val="16"/>
          <w:szCs w:val="16"/>
        </w:rPr>
        <w:t xml:space="preserve"> Det klassiska P/E-talet, dock där vi tittar på senaste 3-årens snittvinst. Detta för att undvika att bolag ser ”temporärt” billiga ut, från en ohållbar lönsamhet just nu. </w:t>
      </w:r>
      <w:r w:rsidRPr="006532C7">
        <w:rPr>
          <w:rFonts w:eastAsiaTheme="minorEastAsia"/>
          <w:sz w:val="16"/>
          <w:szCs w:val="16"/>
        </w:rPr>
        <w:br/>
      </w:r>
      <m:oMathPara>
        <m:oMathParaPr>
          <m:jc m:val="left"/>
        </m:oMathParaPr>
        <m:oMath>
          <m:r>
            <w:rPr>
              <w:rFonts w:ascii="Cambria Math" w:eastAsiaTheme="minorEastAsia" w:hAnsi="Cambria Math"/>
              <w:sz w:val="16"/>
              <w:szCs w:val="16"/>
            </w:rPr>
            <m:t>Earnings Yield=</m:t>
          </m:r>
          <m:f>
            <m:fPr>
              <m:ctrlPr>
                <w:rPr>
                  <w:rFonts w:ascii="Cambria Math" w:eastAsiaTheme="minorEastAsia" w:hAnsi="Cambria Math"/>
                  <w:i/>
                  <w:sz w:val="16"/>
                  <w:szCs w:val="16"/>
                </w:rPr>
              </m:ctrlPr>
            </m:fPr>
            <m:num>
              <m:r>
                <w:rPr>
                  <w:rFonts w:ascii="Cambria Math" w:eastAsiaTheme="minorEastAsia" w:hAnsi="Cambria Math"/>
                  <w:sz w:val="16"/>
                  <w:szCs w:val="16"/>
                </w:rPr>
                <m:t>P</m:t>
              </m:r>
            </m:num>
            <m:den>
              <m:r>
                <w:rPr>
                  <w:rFonts w:ascii="Cambria Math" w:eastAsiaTheme="minorEastAsia" w:hAnsi="Cambria Math"/>
                  <w:sz w:val="16"/>
                  <w:szCs w:val="16"/>
                </w:rPr>
                <m:t>3E</m:t>
              </m:r>
            </m:den>
          </m:f>
          <m:r>
            <w:rPr>
              <w:rFonts w:ascii="Cambria Math" w:eastAsiaTheme="minorEastAsia" w:hAnsi="Cambria Math"/>
              <w:sz w:val="16"/>
              <w:szCs w:val="16"/>
            </w:rPr>
            <m:t xml:space="preserve">= </m:t>
          </m:r>
          <m:f>
            <m:fPr>
              <m:ctrlPr>
                <w:rPr>
                  <w:rFonts w:ascii="Cambria Math" w:eastAsiaTheme="minorEastAsia" w:hAnsi="Cambria Math"/>
                  <w:i/>
                  <w:sz w:val="16"/>
                  <w:szCs w:val="16"/>
                </w:rPr>
              </m:ctrlPr>
            </m:fPr>
            <m:num>
              <m:r>
                <w:rPr>
                  <w:rFonts w:ascii="Cambria Math" w:eastAsiaTheme="minorEastAsia" w:hAnsi="Cambria Math"/>
                  <w:sz w:val="16"/>
                  <w:szCs w:val="16"/>
                </w:rPr>
                <m:t>P</m:t>
              </m:r>
            </m:num>
            <m:den>
              <m:r>
                <w:rPr>
                  <w:rFonts w:ascii="Cambria Math" w:eastAsiaTheme="minorEastAsia" w:hAnsi="Cambria Math"/>
                  <w:sz w:val="16"/>
                  <w:szCs w:val="16"/>
                </w:rPr>
                <m:t>3year average Earnings</m:t>
              </m:r>
            </m:den>
          </m:f>
          <m:r>
            <m:rPr>
              <m:sty m:val="p"/>
            </m:rPr>
            <w:rPr>
              <w:rFonts w:eastAsiaTheme="minorEastAsia"/>
              <w:sz w:val="16"/>
              <w:szCs w:val="16"/>
            </w:rPr>
            <w:br/>
          </m:r>
        </m:oMath>
      </m:oMathPara>
    </w:p>
    <w:p w14:paraId="674DA3AE" w14:textId="50C7D88F" w:rsidR="00EB1689" w:rsidRPr="006532C7" w:rsidRDefault="00EB1689" w:rsidP="009E5069">
      <w:pPr>
        <w:pStyle w:val="ListParagraph"/>
        <w:numPr>
          <w:ilvl w:val="0"/>
          <w:numId w:val="3"/>
        </w:numPr>
        <w:spacing w:line="240" w:lineRule="auto"/>
        <w:rPr>
          <w:sz w:val="16"/>
          <w:szCs w:val="16"/>
        </w:rPr>
      </w:pPr>
      <w:r w:rsidRPr="006532C7">
        <w:rPr>
          <w:sz w:val="16"/>
          <w:szCs w:val="16"/>
          <w:u w:val="single"/>
        </w:rPr>
        <w:t>Reverting Yield</w:t>
      </w:r>
      <w:r w:rsidRPr="006532C7">
        <w:rPr>
          <w:sz w:val="16"/>
          <w:szCs w:val="16"/>
        </w:rPr>
        <w:t xml:space="preserve"> – Här tittar vi på hur bolaget värderas idag kontra hur det värderats historiskt. Dvs är bolaget billigt just nu kontra sin egen historik? Använder EV/EBITDA, då det är ett bra mått som vi inte använt hitills, samt att det är en populär approximering av kassaflödet.</w:t>
      </w:r>
      <w:r w:rsidRPr="006532C7">
        <w:rPr>
          <w:sz w:val="16"/>
          <w:szCs w:val="16"/>
        </w:rPr>
        <w:br/>
      </w:r>
      <m:oMathPara>
        <m:oMathParaPr>
          <m:jc m:val="left"/>
        </m:oMathParaPr>
        <m:oMath>
          <m:r>
            <w:rPr>
              <w:rFonts w:ascii="Cambria Math" w:eastAsiaTheme="minorEastAsia" w:hAnsi="Cambria Math"/>
              <w:sz w:val="16"/>
              <w:szCs w:val="16"/>
            </w:rPr>
            <m:t>Reverting Yield=</m:t>
          </m:r>
          <m:f>
            <m:fPr>
              <m:ctrlPr>
                <w:rPr>
                  <w:rFonts w:ascii="Cambria Math" w:eastAsiaTheme="minorEastAsia" w:hAnsi="Cambria Math"/>
                  <w:i/>
                  <w:sz w:val="16"/>
                  <w:szCs w:val="16"/>
                </w:rPr>
              </m:ctrlPr>
            </m:fPr>
            <m:num>
              <m:r>
                <w:rPr>
                  <w:rFonts w:ascii="Cambria Math" w:eastAsiaTheme="minorEastAsia" w:hAnsi="Cambria Math"/>
                  <w:sz w:val="16"/>
                  <w:szCs w:val="16"/>
                </w:rPr>
                <m:t>EV</m:t>
              </m:r>
            </m:num>
            <m:den>
              <m:r>
                <w:rPr>
                  <w:rFonts w:ascii="Cambria Math" w:eastAsiaTheme="minorEastAsia" w:hAnsi="Cambria Math"/>
                  <w:sz w:val="16"/>
                  <w:szCs w:val="16"/>
                </w:rPr>
                <m:t>EV5</m:t>
              </m:r>
            </m:den>
          </m:f>
          <m:r>
            <w:rPr>
              <w:rFonts w:ascii="Cambria Math" w:eastAsiaTheme="minorEastAsia" w:hAnsi="Cambria Math"/>
              <w:sz w:val="16"/>
              <w:szCs w:val="16"/>
            </w:rPr>
            <m:t>=</m:t>
          </m:r>
          <m:f>
            <m:fPr>
              <m:ctrlPr>
                <w:rPr>
                  <w:rFonts w:ascii="Cambria Math" w:eastAsiaTheme="minorEastAsia" w:hAnsi="Cambria Math"/>
                  <w:i/>
                  <w:sz w:val="16"/>
                  <w:szCs w:val="16"/>
                </w:rPr>
              </m:ctrlPr>
            </m:fPr>
            <m:num>
              <m:f>
                <m:fPr>
                  <m:ctrlPr>
                    <w:rPr>
                      <w:rFonts w:ascii="Cambria Math" w:eastAsiaTheme="minorEastAsia" w:hAnsi="Cambria Math"/>
                      <w:i/>
                      <w:sz w:val="16"/>
                      <w:szCs w:val="16"/>
                    </w:rPr>
                  </m:ctrlPr>
                </m:fPr>
                <m:num>
                  <m:r>
                    <w:rPr>
                      <w:rFonts w:ascii="Cambria Math" w:eastAsiaTheme="minorEastAsia" w:hAnsi="Cambria Math"/>
                      <w:sz w:val="16"/>
                      <w:szCs w:val="16"/>
                    </w:rPr>
                    <m:t>EV</m:t>
                  </m:r>
                </m:num>
                <m:den>
                  <m:r>
                    <w:rPr>
                      <w:rFonts w:ascii="Cambria Math" w:eastAsiaTheme="minorEastAsia" w:hAnsi="Cambria Math"/>
                      <w:sz w:val="16"/>
                      <w:szCs w:val="16"/>
                    </w:rPr>
                    <m:t>EBITDA</m:t>
                  </m:r>
                </m:den>
              </m:f>
            </m:num>
            <m:den>
              <m:r>
                <w:rPr>
                  <w:rFonts w:ascii="Cambria Math" w:eastAsiaTheme="minorEastAsia" w:hAnsi="Cambria Math"/>
                  <w:sz w:val="16"/>
                  <w:szCs w:val="16"/>
                </w:rPr>
                <m:t>5year average</m:t>
              </m:r>
              <m:f>
                <m:fPr>
                  <m:ctrlPr>
                    <w:rPr>
                      <w:rFonts w:ascii="Cambria Math" w:eastAsiaTheme="minorEastAsia" w:hAnsi="Cambria Math"/>
                      <w:i/>
                      <w:sz w:val="16"/>
                      <w:szCs w:val="16"/>
                    </w:rPr>
                  </m:ctrlPr>
                </m:fPr>
                <m:num>
                  <m:r>
                    <w:rPr>
                      <w:rFonts w:ascii="Cambria Math" w:eastAsiaTheme="minorEastAsia" w:hAnsi="Cambria Math"/>
                      <w:sz w:val="16"/>
                      <w:szCs w:val="16"/>
                    </w:rPr>
                    <m:t>EV</m:t>
                  </m:r>
                </m:num>
                <m:den>
                  <m:r>
                    <w:rPr>
                      <w:rFonts w:ascii="Cambria Math" w:eastAsiaTheme="minorEastAsia" w:hAnsi="Cambria Math"/>
                      <w:sz w:val="16"/>
                      <w:szCs w:val="16"/>
                    </w:rPr>
                    <m:t>EBITDA</m:t>
                  </m:r>
                </m:den>
              </m:f>
            </m:den>
          </m:f>
        </m:oMath>
      </m:oMathPara>
    </w:p>
    <w:p w14:paraId="5C3520C6" w14:textId="080F2A69" w:rsidR="009E5069" w:rsidRPr="006532C7" w:rsidRDefault="006532C7" w:rsidP="009E5069">
      <w:pPr>
        <w:pStyle w:val="ListParagraph"/>
        <w:numPr>
          <w:ilvl w:val="0"/>
          <w:numId w:val="3"/>
        </w:numPr>
        <w:spacing w:line="240" w:lineRule="auto"/>
        <w:rPr>
          <w:sz w:val="16"/>
          <w:szCs w:val="16"/>
        </w:rPr>
      </w:pPr>
      <w:r>
        <w:rPr>
          <w:sz w:val="16"/>
          <w:szCs w:val="16"/>
          <w:u w:val="single"/>
        </w:rPr>
        <w:br/>
      </w:r>
      <w:r w:rsidR="009E5069" w:rsidRPr="006532C7">
        <w:rPr>
          <w:sz w:val="16"/>
          <w:szCs w:val="16"/>
          <w:u w:val="single"/>
        </w:rPr>
        <w:t>Dividend Yield  -</w:t>
      </w:r>
      <w:r w:rsidR="00EB1689" w:rsidRPr="006532C7">
        <w:rPr>
          <w:sz w:val="16"/>
          <w:szCs w:val="16"/>
          <w:u w:val="single"/>
        </w:rPr>
        <w:t xml:space="preserve"> </w:t>
      </w:r>
      <w:r w:rsidR="009E5069" w:rsidRPr="006532C7">
        <w:rPr>
          <w:sz w:val="16"/>
          <w:szCs w:val="16"/>
        </w:rPr>
        <w:t>Jag är inte ett stort fan av utdelningsstrategier. Dock ska det sägas att detta mått har historiskt förbättrat de flesta kompositmått på värde, samt att det är sunt att ett bolag delar ut till aktieägarna (om det är möjligt/lämpligt). Då detta är bara ett av flera mått, väljer modellen inte alltid ut bolag med förväntad utdelning, men i den fallen det gör det så får ägaren en liten krockkudde.</w:t>
      </w:r>
      <w:r w:rsidR="009E5069" w:rsidRPr="006532C7">
        <w:rPr>
          <w:sz w:val="16"/>
          <w:szCs w:val="16"/>
        </w:rPr>
        <w:br/>
      </w:r>
      <m:oMathPara>
        <m:oMathParaPr>
          <m:jc m:val="left"/>
        </m:oMathParaPr>
        <m:oMath>
          <m:r>
            <w:rPr>
              <w:rFonts w:ascii="Cambria Math" w:hAnsi="Cambria Math"/>
              <w:sz w:val="16"/>
              <w:szCs w:val="16"/>
            </w:rPr>
            <m:t>Dividend Yield=</m:t>
          </m:r>
          <m:f>
            <m:fPr>
              <m:ctrlPr>
                <w:rPr>
                  <w:rFonts w:ascii="Cambria Math" w:hAnsi="Cambria Math"/>
                  <w:i/>
                  <w:sz w:val="16"/>
                  <w:szCs w:val="16"/>
                </w:rPr>
              </m:ctrlPr>
            </m:fPr>
            <m:num>
              <m:r>
                <w:rPr>
                  <w:rFonts w:ascii="Cambria Math" w:hAnsi="Cambria Math"/>
                  <w:sz w:val="16"/>
                  <w:szCs w:val="16"/>
                </w:rPr>
                <m:t>P</m:t>
              </m:r>
            </m:num>
            <m:den>
              <m:r>
                <w:rPr>
                  <w:rFonts w:ascii="Cambria Math" w:hAnsi="Cambria Math"/>
                  <w:sz w:val="16"/>
                  <w:szCs w:val="16"/>
                </w:rPr>
                <m:t>Previous</m:t>
              </m:r>
              <m:r>
                <w:rPr>
                  <w:rFonts w:ascii="Cambria Math" w:hAnsi="Cambria Math"/>
                  <w:sz w:val="16"/>
                  <w:szCs w:val="16"/>
                </w:rPr>
                <m:t xml:space="preserve"> Dividend</m:t>
              </m:r>
            </m:den>
          </m:f>
        </m:oMath>
      </m:oMathPara>
    </w:p>
    <w:p w14:paraId="7D374430" w14:textId="0EB910DA" w:rsidR="009E5069" w:rsidRPr="006532C7" w:rsidRDefault="009E5069" w:rsidP="009E5069">
      <w:pPr>
        <w:spacing w:line="240" w:lineRule="auto"/>
        <w:ind w:left="360"/>
        <w:rPr>
          <w:sz w:val="16"/>
          <w:szCs w:val="16"/>
        </w:rPr>
      </w:pPr>
      <w:r w:rsidRPr="006532C7">
        <w:rPr>
          <w:sz w:val="16"/>
          <w:szCs w:val="16"/>
        </w:rPr>
        <w:t xml:space="preserve">Vi rangordnar alla bolag (som är kvar efter steg 2) efter dessa parametrar (likaviktat) och skapar ett komposit-mått jag kallar </w:t>
      </w:r>
      <w:r w:rsidR="00E82656">
        <w:rPr>
          <w:sz w:val="16"/>
          <w:szCs w:val="16"/>
        </w:rPr>
        <w:t xml:space="preserve">New </w:t>
      </w:r>
      <w:proofErr w:type="spellStart"/>
      <w:r w:rsidRPr="006532C7">
        <w:rPr>
          <w:sz w:val="16"/>
          <w:szCs w:val="16"/>
        </w:rPr>
        <w:t>Value</w:t>
      </w:r>
      <w:proofErr w:type="spellEnd"/>
      <w:r w:rsidRPr="006532C7">
        <w:rPr>
          <w:sz w:val="16"/>
          <w:szCs w:val="16"/>
        </w:rPr>
        <w:t xml:space="preserve"> Composite. </w:t>
      </w:r>
      <w:r w:rsidRPr="006532C7">
        <w:rPr>
          <w:b/>
          <w:bCs/>
          <w:sz w:val="16"/>
          <w:szCs w:val="16"/>
        </w:rPr>
        <w:t>De dyraste 70% åker ut.</w:t>
      </w:r>
      <w:r w:rsidRPr="006532C7">
        <w:rPr>
          <w:sz w:val="16"/>
          <w:szCs w:val="16"/>
        </w:rPr>
        <w:t xml:space="preserve"> Det kan hända att något bolag får ett negativt resultat på PE-3 måttet, i dessa fall tas dessa bolag bort.</w:t>
      </w:r>
    </w:p>
    <w:p w14:paraId="4C3FD3BB" w14:textId="5E104F75" w:rsidR="006532C7" w:rsidRDefault="009E5069" w:rsidP="009E5069">
      <w:pPr>
        <w:spacing w:line="240" w:lineRule="auto"/>
        <w:rPr>
          <w:sz w:val="16"/>
          <w:szCs w:val="16"/>
          <w:lang w:val="en-US"/>
        </w:rPr>
      </w:pPr>
      <w:r w:rsidRPr="006532C7">
        <w:rPr>
          <w:sz w:val="16"/>
          <w:szCs w:val="16"/>
          <w:lang w:val="en-US"/>
        </w:rPr>
        <w:t xml:space="preserve">För </w:t>
      </w:r>
      <w:proofErr w:type="spellStart"/>
      <w:r w:rsidRPr="006532C7">
        <w:rPr>
          <w:sz w:val="16"/>
          <w:szCs w:val="16"/>
          <w:lang w:val="en-US"/>
        </w:rPr>
        <w:t>mer</w:t>
      </w:r>
      <w:proofErr w:type="spellEnd"/>
      <w:r w:rsidRPr="006532C7">
        <w:rPr>
          <w:sz w:val="16"/>
          <w:szCs w:val="16"/>
          <w:lang w:val="en-US"/>
        </w:rPr>
        <w:t xml:space="preserve"> </w:t>
      </w:r>
      <w:proofErr w:type="spellStart"/>
      <w:r w:rsidRPr="006532C7">
        <w:rPr>
          <w:sz w:val="16"/>
          <w:szCs w:val="16"/>
          <w:lang w:val="en-US"/>
        </w:rPr>
        <w:t>läsning</w:t>
      </w:r>
      <w:proofErr w:type="spellEnd"/>
      <w:r w:rsidRPr="006532C7">
        <w:rPr>
          <w:sz w:val="16"/>
          <w:szCs w:val="16"/>
          <w:lang w:val="en-US"/>
        </w:rPr>
        <w:t xml:space="preserve">, </w:t>
      </w:r>
      <w:proofErr w:type="gramStart"/>
      <w:r w:rsidRPr="006532C7">
        <w:rPr>
          <w:sz w:val="16"/>
          <w:szCs w:val="16"/>
          <w:lang w:val="en-US"/>
        </w:rPr>
        <w:t>se ”What</w:t>
      </w:r>
      <w:proofErr w:type="gramEnd"/>
      <w:r w:rsidRPr="006532C7">
        <w:rPr>
          <w:sz w:val="16"/>
          <w:szCs w:val="16"/>
          <w:lang w:val="en-US"/>
        </w:rPr>
        <w:t xml:space="preserve"> Works on Wall Street” av </w:t>
      </w:r>
      <w:proofErr w:type="spellStart"/>
      <w:r w:rsidRPr="006532C7">
        <w:rPr>
          <w:sz w:val="16"/>
          <w:szCs w:val="16"/>
          <w:lang w:val="en-US"/>
        </w:rPr>
        <w:t>O’Shaugnessy</w:t>
      </w:r>
      <w:proofErr w:type="spellEnd"/>
      <w:r w:rsidRPr="006532C7">
        <w:rPr>
          <w:sz w:val="16"/>
          <w:szCs w:val="16"/>
          <w:lang w:val="en-US"/>
        </w:rPr>
        <w:t>,</w:t>
      </w:r>
      <w:r w:rsidRPr="006532C7">
        <w:rPr>
          <w:sz w:val="16"/>
          <w:szCs w:val="16"/>
          <w:lang w:val="en-US"/>
        </w:rPr>
        <w:br/>
        <w:t>“Quantitative Value” av Gray &amp; Carlisle</w:t>
      </w:r>
      <w:r w:rsidRPr="006532C7">
        <w:rPr>
          <w:sz w:val="16"/>
          <w:szCs w:val="16"/>
          <w:lang w:val="en-US"/>
        </w:rPr>
        <w:br/>
        <w:t>“New Evidence on the Relation between the Enterprise Multiple and Average Stock Returns” av Loughran &amp; Wellman</w:t>
      </w:r>
      <w:r w:rsidRPr="006532C7">
        <w:rPr>
          <w:sz w:val="16"/>
          <w:szCs w:val="16"/>
          <w:lang w:val="en-US"/>
        </w:rPr>
        <w:br/>
        <w:t xml:space="preserve">“The Other Side of Value: The Gross Profitability Premium” av </w:t>
      </w:r>
      <w:proofErr w:type="spellStart"/>
      <w:r w:rsidRPr="006532C7">
        <w:rPr>
          <w:sz w:val="16"/>
          <w:szCs w:val="16"/>
          <w:lang w:val="en-US"/>
        </w:rPr>
        <w:t>Novy</w:t>
      </w:r>
      <w:proofErr w:type="spellEnd"/>
      <w:r w:rsidRPr="006532C7">
        <w:rPr>
          <w:sz w:val="16"/>
          <w:szCs w:val="16"/>
          <w:lang w:val="en-US"/>
        </w:rPr>
        <w:t>-Marx</w:t>
      </w:r>
      <w:r w:rsidRPr="006532C7">
        <w:rPr>
          <w:sz w:val="16"/>
          <w:szCs w:val="16"/>
          <w:lang w:val="en-US"/>
        </w:rPr>
        <w:br/>
        <w:t xml:space="preserve">“Quality Minus Junk” av </w:t>
      </w:r>
      <w:proofErr w:type="spellStart"/>
      <w:r w:rsidRPr="006532C7">
        <w:rPr>
          <w:sz w:val="16"/>
          <w:szCs w:val="16"/>
          <w:lang w:val="en-US"/>
        </w:rPr>
        <w:t>Assness</w:t>
      </w:r>
      <w:proofErr w:type="spellEnd"/>
      <w:r w:rsidRPr="006532C7">
        <w:rPr>
          <w:sz w:val="16"/>
          <w:szCs w:val="16"/>
          <w:lang w:val="en-US"/>
        </w:rPr>
        <w:t xml:space="preserve"> et al</w:t>
      </w:r>
    </w:p>
    <w:p w14:paraId="545F10B2" w14:textId="77777777" w:rsidR="006532C7" w:rsidRDefault="006532C7">
      <w:pPr>
        <w:rPr>
          <w:sz w:val="16"/>
          <w:szCs w:val="16"/>
          <w:lang w:val="en-US"/>
        </w:rPr>
      </w:pPr>
      <w:r>
        <w:rPr>
          <w:sz w:val="16"/>
          <w:szCs w:val="16"/>
          <w:lang w:val="en-US"/>
        </w:rPr>
        <w:br w:type="page"/>
      </w:r>
    </w:p>
    <w:p w14:paraId="762912C5" w14:textId="77777777" w:rsidR="009E5069" w:rsidRPr="006532C7" w:rsidRDefault="009E5069" w:rsidP="009E5069">
      <w:pPr>
        <w:pStyle w:val="Heading1"/>
        <w:rPr>
          <w:sz w:val="16"/>
          <w:szCs w:val="16"/>
        </w:rPr>
      </w:pPr>
      <w:r w:rsidRPr="006532C7">
        <w:rPr>
          <w:sz w:val="16"/>
          <w:szCs w:val="16"/>
        </w:rPr>
        <w:lastRenderedPageBreak/>
        <w:t>Steg 4 – Kvalitet, eller Fundamental Trend</w:t>
      </w:r>
    </w:p>
    <w:p w14:paraId="20C1F758" w14:textId="77777777" w:rsidR="009E5069" w:rsidRPr="006532C7" w:rsidRDefault="009E5069" w:rsidP="009E5069">
      <w:pPr>
        <w:rPr>
          <w:sz w:val="16"/>
          <w:szCs w:val="16"/>
        </w:rPr>
      </w:pPr>
      <w:r w:rsidRPr="006532C7">
        <w:rPr>
          <w:sz w:val="16"/>
          <w:szCs w:val="16"/>
        </w:rPr>
        <w:t>I en studie från 2002, ”Value Investing: The Use of Historical Financial Statement Information to Separate Winners from Losers” visade Joseph Piotroski att med relativt enkla medel gick det att hitta dem bolag som förväntades överprestera bland så kallade value-aktier (i detta fall sorterat efter P/B precis som Fama-French). Studien sticker något i ögonen på anhängare av effektiva marknaden, då studien visade att bolag med mindre fundamental risk överpresterade, inte vice versa. Strategin som han tog fram är även en av de få kvantitativa strategier som faktiskt gick plus under finanskrisen 2008. Vi tar rygg på strategin, som är av semi-binär karaktär. Totalt ges 9 poäng, 1 poäng för varje kriteria som uppfylls. Vi har lagt till 2st mått, som redovisas i slutet.</w:t>
      </w:r>
    </w:p>
    <w:p w14:paraId="4C3AB479" w14:textId="77777777" w:rsidR="009E5069" w:rsidRPr="006532C7" w:rsidRDefault="009E5069" w:rsidP="009E5069">
      <w:pPr>
        <w:pStyle w:val="Heading2"/>
        <w:rPr>
          <w:sz w:val="16"/>
          <w:szCs w:val="16"/>
        </w:rPr>
      </w:pPr>
      <w:r w:rsidRPr="006532C7">
        <w:rPr>
          <w:sz w:val="16"/>
          <w:szCs w:val="16"/>
        </w:rPr>
        <w:t>Piotroski’s F-score</w:t>
      </w:r>
    </w:p>
    <w:p w14:paraId="032A6711" w14:textId="77777777" w:rsidR="009E5069" w:rsidRPr="006532C7" w:rsidRDefault="009E5069" w:rsidP="009E5069">
      <w:pPr>
        <w:pStyle w:val="Heading3"/>
        <w:rPr>
          <w:sz w:val="16"/>
          <w:szCs w:val="16"/>
          <w:lang w:val="en-US"/>
        </w:rPr>
      </w:pPr>
      <w:r w:rsidRPr="006532C7">
        <w:rPr>
          <w:sz w:val="16"/>
          <w:szCs w:val="16"/>
          <w:lang w:val="en-US"/>
        </w:rPr>
        <w:t xml:space="preserve">Profitability </w:t>
      </w:r>
    </w:p>
    <w:p w14:paraId="0CC0BA3D" w14:textId="77777777" w:rsidR="009E5069" w:rsidRPr="006532C7" w:rsidRDefault="009E5069" w:rsidP="009E5069">
      <w:pPr>
        <w:pStyle w:val="ListParagraph"/>
        <w:numPr>
          <w:ilvl w:val="0"/>
          <w:numId w:val="5"/>
        </w:numPr>
        <w:rPr>
          <w:sz w:val="16"/>
          <w:szCs w:val="16"/>
        </w:rPr>
      </w:pPr>
      <w:r w:rsidRPr="006532C7">
        <w:rPr>
          <w:sz w:val="16"/>
          <w:szCs w:val="16"/>
        </w:rPr>
        <w:t>ROA  (Är bolagets avkastning på totalt kapital positivt?)</w:t>
      </w:r>
    </w:p>
    <w:p w14:paraId="58B57F71" w14:textId="77777777" w:rsidR="009E5069" w:rsidRPr="006532C7" w:rsidRDefault="009E5069" w:rsidP="009E5069">
      <w:pPr>
        <w:pStyle w:val="ListParagraph"/>
        <w:numPr>
          <w:ilvl w:val="0"/>
          <w:numId w:val="5"/>
        </w:numPr>
        <w:rPr>
          <w:sz w:val="16"/>
          <w:szCs w:val="16"/>
        </w:rPr>
      </w:pPr>
      <w:r w:rsidRPr="006532C7">
        <w:rPr>
          <w:sz w:val="16"/>
          <w:szCs w:val="16"/>
        </w:rPr>
        <w:t>CFO (Är bolagets kassaflöde från verksamheten positivt?)</w:t>
      </w:r>
    </w:p>
    <w:p w14:paraId="45E6F53F" w14:textId="77777777" w:rsidR="009E5069" w:rsidRPr="006532C7" w:rsidRDefault="009E5069" w:rsidP="009E5069">
      <w:pPr>
        <w:pStyle w:val="ListParagraph"/>
        <w:numPr>
          <w:ilvl w:val="0"/>
          <w:numId w:val="5"/>
        </w:numPr>
        <w:rPr>
          <w:sz w:val="16"/>
          <w:szCs w:val="16"/>
        </w:rPr>
      </w:pPr>
      <w:r w:rsidRPr="006532C7">
        <w:rPr>
          <w:rFonts w:cstheme="minorHAnsi"/>
          <w:sz w:val="16"/>
          <w:szCs w:val="16"/>
          <w:lang w:val="en-US"/>
        </w:rPr>
        <w:t>Δ</w:t>
      </w:r>
      <w:r w:rsidRPr="006532C7">
        <w:rPr>
          <w:sz w:val="16"/>
          <w:szCs w:val="16"/>
        </w:rPr>
        <w:t>ROA (Har bolagets avkastning på totalt kapital ökat från förra året?)</w:t>
      </w:r>
    </w:p>
    <w:p w14:paraId="485B4F52" w14:textId="77777777" w:rsidR="009E5069" w:rsidRPr="006532C7" w:rsidRDefault="009E5069" w:rsidP="009E5069">
      <w:pPr>
        <w:pStyle w:val="ListParagraph"/>
        <w:numPr>
          <w:ilvl w:val="0"/>
          <w:numId w:val="5"/>
        </w:numPr>
        <w:rPr>
          <w:sz w:val="16"/>
          <w:szCs w:val="16"/>
        </w:rPr>
      </w:pPr>
      <w:r w:rsidRPr="006532C7">
        <w:rPr>
          <w:rFonts w:cstheme="minorHAnsi"/>
          <w:sz w:val="16"/>
          <w:szCs w:val="16"/>
        </w:rPr>
        <w:t>ACCRUAL (Är bolagets kassaflöde från verksamheten större än vinsten?)</w:t>
      </w:r>
    </w:p>
    <w:p w14:paraId="71FEEA08" w14:textId="77777777" w:rsidR="009E5069" w:rsidRPr="006532C7" w:rsidRDefault="009E5069" w:rsidP="009E5069">
      <w:pPr>
        <w:pStyle w:val="Heading3"/>
        <w:rPr>
          <w:sz w:val="16"/>
          <w:szCs w:val="16"/>
          <w:lang w:val="en-US"/>
        </w:rPr>
      </w:pPr>
      <w:r w:rsidRPr="006532C7">
        <w:rPr>
          <w:sz w:val="16"/>
          <w:szCs w:val="16"/>
          <w:lang w:val="en-US"/>
        </w:rPr>
        <w:t>Leverage, Liquidity and Source of Funds</w:t>
      </w:r>
    </w:p>
    <w:p w14:paraId="5B652EAA" w14:textId="77777777" w:rsidR="009E5069" w:rsidRPr="006532C7" w:rsidRDefault="009E5069" w:rsidP="009E5069">
      <w:pPr>
        <w:pStyle w:val="ListParagraph"/>
        <w:numPr>
          <w:ilvl w:val="0"/>
          <w:numId w:val="5"/>
        </w:numPr>
        <w:rPr>
          <w:sz w:val="16"/>
          <w:szCs w:val="16"/>
        </w:rPr>
      </w:pPr>
      <w:r w:rsidRPr="006532C7">
        <w:rPr>
          <w:sz w:val="16"/>
          <w:szCs w:val="16"/>
        </w:rPr>
        <w:t>ΔLEVER (Är bolagets räntebärande skulder lägre idag än för ett år sen?)</w:t>
      </w:r>
    </w:p>
    <w:p w14:paraId="53BC100A" w14:textId="77777777" w:rsidR="009E5069" w:rsidRPr="006532C7" w:rsidRDefault="009E5069" w:rsidP="009E5069">
      <w:pPr>
        <w:pStyle w:val="ListParagraph"/>
        <w:numPr>
          <w:ilvl w:val="0"/>
          <w:numId w:val="5"/>
        </w:numPr>
        <w:rPr>
          <w:sz w:val="16"/>
          <w:szCs w:val="16"/>
        </w:rPr>
      </w:pPr>
      <w:r w:rsidRPr="006532C7">
        <w:rPr>
          <w:rFonts w:cstheme="minorHAnsi"/>
          <w:sz w:val="16"/>
          <w:szCs w:val="16"/>
        </w:rPr>
        <w:t>Δ</w:t>
      </w:r>
      <w:r w:rsidRPr="006532C7">
        <w:rPr>
          <w:sz w:val="16"/>
          <w:szCs w:val="16"/>
        </w:rPr>
        <w:t>LIQUID (Är bolagets balanslikviditet högre idag än för ett år sen?)</w:t>
      </w:r>
    </w:p>
    <w:p w14:paraId="70C03921" w14:textId="77777777" w:rsidR="009E5069" w:rsidRPr="006532C7" w:rsidRDefault="009E5069" w:rsidP="009E5069">
      <w:pPr>
        <w:pStyle w:val="ListParagraph"/>
        <w:numPr>
          <w:ilvl w:val="0"/>
          <w:numId w:val="5"/>
        </w:numPr>
        <w:rPr>
          <w:sz w:val="16"/>
          <w:szCs w:val="16"/>
        </w:rPr>
      </w:pPr>
      <w:r w:rsidRPr="006532C7">
        <w:rPr>
          <w:rFonts w:cstheme="minorHAnsi"/>
          <w:sz w:val="16"/>
          <w:szCs w:val="16"/>
        </w:rPr>
        <w:t>EQ_OFFER (Har bolaget inte emitterat aktier under föregående år?)</w:t>
      </w:r>
    </w:p>
    <w:p w14:paraId="195C9D9A" w14:textId="77777777" w:rsidR="009E5069" w:rsidRPr="006532C7" w:rsidRDefault="009E5069" w:rsidP="009E5069">
      <w:pPr>
        <w:pStyle w:val="Heading3"/>
        <w:rPr>
          <w:sz w:val="16"/>
          <w:szCs w:val="16"/>
          <w:lang w:val="en-US"/>
        </w:rPr>
      </w:pPr>
      <w:r w:rsidRPr="006532C7">
        <w:rPr>
          <w:sz w:val="16"/>
          <w:szCs w:val="16"/>
          <w:lang w:val="en-US"/>
        </w:rPr>
        <w:t xml:space="preserve">Operating </w:t>
      </w:r>
      <w:proofErr w:type="spellStart"/>
      <w:r w:rsidRPr="006532C7">
        <w:rPr>
          <w:sz w:val="16"/>
          <w:szCs w:val="16"/>
          <w:lang w:val="en-US"/>
        </w:rPr>
        <w:t>Efficiancy</w:t>
      </w:r>
      <w:proofErr w:type="spellEnd"/>
    </w:p>
    <w:p w14:paraId="1116E51B" w14:textId="77777777" w:rsidR="009E5069" w:rsidRPr="006532C7" w:rsidRDefault="009E5069" w:rsidP="009E5069">
      <w:pPr>
        <w:pStyle w:val="ListParagraph"/>
        <w:numPr>
          <w:ilvl w:val="0"/>
          <w:numId w:val="5"/>
        </w:numPr>
        <w:rPr>
          <w:sz w:val="16"/>
          <w:szCs w:val="16"/>
        </w:rPr>
      </w:pPr>
      <w:r w:rsidRPr="006532C7">
        <w:rPr>
          <w:sz w:val="16"/>
          <w:szCs w:val="16"/>
        </w:rPr>
        <w:t>ΔMARGIN (Har bolagets gross profit-margin förbättrats sen för ett år sen?)</w:t>
      </w:r>
    </w:p>
    <w:p w14:paraId="365FED37" w14:textId="77777777" w:rsidR="009E5069" w:rsidRPr="006532C7" w:rsidRDefault="009E5069" w:rsidP="009E5069">
      <w:pPr>
        <w:pStyle w:val="ListParagraph"/>
        <w:numPr>
          <w:ilvl w:val="0"/>
          <w:numId w:val="5"/>
        </w:numPr>
        <w:rPr>
          <w:sz w:val="16"/>
          <w:szCs w:val="16"/>
        </w:rPr>
      </w:pPr>
      <w:r w:rsidRPr="006532C7">
        <w:rPr>
          <w:rFonts w:cstheme="minorHAnsi"/>
          <w:sz w:val="16"/>
          <w:szCs w:val="16"/>
        </w:rPr>
        <w:t>Δ</w:t>
      </w:r>
      <w:r w:rsidRPr="006532C7">
        <w:rPr>
          <w:sz w:val="16"/>
          <w:szCs w:val="16"/>
        </w:rPr>
        <w:t>TURN (Har bolagets omsättningshastighet förbättrats sen för ett år sen?)</w:t>
      </w:r>
    </w:p>
    <w:p w14:paraId="191C177F" w14:textId="201DB6C2" w:rsidR="009E5069" w:rsidRPr="006532C7" w:rsidRDefault="009E5069" w:rsidP="009E5069">
      <w:pPr>
        <w:rPr>
          <w:sz w:val="16"/>
          <w:szCs w:val="16"/>
        </w:rPr>
      </w:pPr>
      <w:r w:rsidRPr="006532C7">
        <w:rPr>
          <w:sz w:val="16"/>
          <w:szCs w:val="16"/>
        </w:rPr>
        <w:t>Om svaret är ja på ovanstående fråga, ger strategin 1 poäng (per fråga) för totalt 9 poäng. Jag tycker att det finns fler binära signaler som är värda att ta upp</w:t>
      </w:r>
      <w:r w:rsidR="009464C1">
        <w:rPr>
          <w:sz w:val="16"/>
          <w:szCs w:val="16"/>
        </w:rPr>
        <w:t>:</w:t>
      </w:r>
    </w:p>
    <w:p w14:paraId="65BE25AC" w14:textId="14FA11B1" w:rsidR="009E5069" w:rsidRDefault="009464C1" w:rsidP="009E5069">
      <w:pPr>
        <w:pStyle w:val="ListParagraph"/>
        <w:numPr>
          <w:ilvl w:val="0"/>
          <w:numId w:val="8"/>
        </w:numPr>
        <w:rPr>
          <w:sz w:val="16"/>
          <w:szCs w:val="16"/>
        </w:rPr>
      </w:pPr>
      <w:r>
        <w:rPr>
          <w:sz w:val="16"/>
          <w:szCs w:val="16"/>
        </w:rPr>
        <w:t>I-score:</w:t>
      </w:r>
      <w:r w:rsidR="009E5069" w:rsidRPr="00E82656">
        <w:rPr>
          <w:sz w:val="16"/>
          <w:szCs w:val="16"/>
        </w:rPr>
        <w:t xml:space="preserve"> (</w:t>
      </w:r>
      <w:r w:rsidR="002949F8">
        <w:rPr>
          <w:sz w:val="16"/>
          <w:szCs w:val="16"/>
        </w:rPr>
        <w:t>Senaste 3 månader, om insynspersoner sålt mer än köpt, -1. Om nettot är 0 eller handel saknas, +0. Om insynspersoner köpt mer än sålt, +1.</w:t>
      </w:r>
    </w:p>
    <w:p w14:paraId="1FE30935" w14:textId="68B1F8B8" w:rsidR="009464C1" w:rsidRPr="00E82656" w:rsidRDefault="009464C1" w:rsidP="009E5069">
      <w:pPr>
        <w:pStyle w:val="ListParagraph"/>
        <w:numPr>
          <w:ilvl w:val="0"/>
          <w:numId w:val="8"/>
        </w:numPr>
        <w:rPr>
          <w:sz w:val="16"/>
          <w:szCs w:val="16"/>
        </w:rPr>
      </w:pPr>
      <w:r>
        <w:rPr>
          <w:sz w:val="16"/>
          <w:szCs w:val="16"/>
        </w:rPr>
        <w:t xml:space="preserve">R-score: </w:t>
      </w:r>
      <w:r w:rsidR="00D9327D">
        <w:rPr>
          <w:sz w:val="16"/>
          <w:szCs w:val="16"/>
        </w:rPr>
        <w:t xml:space="preserve">ger poäng </w:t>
      </w:r>
      <w:proofErr w:type="gramStart"/>
      <w:r w:rsidR="00D9327D">
        <w:rPr>
          <w:sz w:val="16"/>
          <w:szCs w:val="16"/>
        </w:rPr>
        <w:t>1-5</w:t>
      </w:r>
      <w:proofErr w:type="gramEnd"/>
      <w:r w:rsidR="00D9327D">
        <w:rPr>
          <w:sz w:val="16"/>
          <w:szCs w:val="16"/>
        </w:rPr>
        <w:t xml:space="preserve"> baserat på nuvarande volatilitet i aktien</w:t>
      </w:r>
    </w:p>
    <w:p w14:paraId="499B3B99" w14:textId="2398E59E" w:rsidR="00EB1689" w:rsidRPr="006532C7" w:rsidRDefault="00EB1689" w:rsidP="00EB1689">
      <w:pPr>
        <w:pStyle w:val="Heading2"/>
        <w:rPr>
          <w:sz w:val="16"/>
          <w:szCs w:val="16"/>
        </w:rPr>
      </w:pPr>
      <w:proofErr w:type="spellStart"/>
      <w:r w:rsidRPr="006532C7">
        <w:rPr>
          <w:sz w:val="16"/>
          <w:szCs w:val="16"/>
        </w:rPr>
        <w:t>Earnings</w:t>
      </w:r>
      <w:proofErr w:type="spellEnd"/>
      <w:r w:rsidR="00B24506">
        <w:rPr>
          <w:sz w:val="16"/>
          <w:szCs w:val="16"/>
        </w:rPr>
        <w:t xml:space="preserve"> &amp; Cashflow</w:t>
      </w:r>
      <w:r w:rsidRPr="006532C7">
        <w:rPr>
          <w:sz w:val="16"/>
          <w:szCs w:val="16"/>
        </w:rPr>
        <w:t xml:space="preserve"> </w:t>
      </w:r>
      <w:proofErr w:type="spellStart"/>
      <w:r w:rsidRPr="006532C7">
        <w:rPr>
          <w:sz w:val="16"/>
          <w:szCs w:val="16"/>
        </w:rPr>
        <w:t>Stability</w:t>
      </w:r>
      <w:proofErr w:type="spellEnd"/>
      <w:r w:rsidR="00E82656">
        <w:rPr>
          <w:sz w:val="16"/>
          <w:szCs w:val="16"/>
        </w:rPr>
        <w:t xml:space="preserve"> </w:t>
      </w:r>
    </w:p>
    <w:p w14:paraId="14325B2B" w14:textId="481058C8" w:rsidR="009E5069" w:rsidRPr="006532C7" w:rsidRDefault="00EB1689" w:rsidP="009E5069">
      <w:pPr>
        <w:rPr>
          <w:sz w:val="16"/>
          <w:szCs w:val="16"/>
        </w:rPr>
      </w:pPr>
      <w:r w:rsidRPr="006532C7">
        <w:rPr>
          <w:sz w:val="16"/>
          <w:szCs w:val="16"/>
        </w:rPr>
        <w:t>Vi tittar även på vinsttabiliteten bakåt dem senaste 5 åren</w:t>
      </w:r>
      <w:r w:rsidR="009E5069" w:rsidRPr="006532C7">
        <w:rPr>
          <w:sz w:val="16"/>
          <w:szCs w:val="16"/>
        </w:rPr>
        <w:t>.</w:t>
      </w:r>
      <w:r w:rsidRPr="006532C7">
        <w:rPr>
          <w:sz w:val="16"/>
          <w:szCs w:val="16"/>
        </w:rPr>
        <w:t xml:space="preserve"> Bolaget får en poängsättning från </w:t>
      </w:r>
      <w:proofErr w:type="gramStart"/>
      <w:r w:rsidRPr="006532C7">
        <w:rPr>
          <w:sz w:val="16"/>
          <w:szCs w:val="16"/>
        </w:rPr>
        <w:t>0-</w:t>
      </w:r>
      <w:r w:rsidR="00B24506">
        <w:rPr>
          <w:sz w:val="16"/>
          <w:szCs w:val="16"/>
        </w:rPr>
        <w:t>7</w:t>
      </w:r>
      <w:proofErr w:type="gramEnd"/>
      <w:r w:rsidRPr="006532C7">
        <w:rPr>
          <w:sz w:val="16"/>
          <w:szCs w:val="16"/>
        </w:rPr>
        <w:t>, baserat på antalet år med positiv vinst dem senaste 5 åren.</w:t>
      </w:r>
      <w:r w:rsidR="00D9327D">
        <w:rPr>
          <w:sz w:val="16"/>
          <w:szCs w:val="16"/>
        </w:rPr>
        <w:t xml:space="preserve"> Vi kallar dem E-score &amp; C-score.</w:t>
      </w:r>
    </w:p>
    <w:p w14:paraId="6AE04D6C" w14:textId="4FE3C855" w:rsidR="009E5069" w:rsidRDefault="009E5069" w:rsidP="009E5069">
      <w:pPr>
        <w:rPr>
          <w:sz w:val="16"/>
          <w:szCs w:val="16"/>
        </w:rPr>
      </w:pPr>
      <w:r w:rsidRPr="006532C7">
        <w:rPr>
          <w:sz w:val="16"/>
          <w:szCs w:val="16"/>
        </w:rPr>
        <w:t>Som lägsta gräns sätter strategin att F-score skall vara lägst 6,</w:t>
      </w:r>
      <w:r w:rsidR="00EB1689" w:rsidRPr="006532C7">
        <w:rPr>
          <w:sz w:val="16"/>
          <w:szCs w:val="16"/>
        </w:rPr>
        <w:t xml:space="preserve"> </w:t>
      </w:r>
      <w:proofErr w:type="spellStart"/>
      <w:r w:rsidR="00EB1689" w:rsidRPr="006532C7">
        <w:rPr>
          <w:sz w:val="16"/>
          <w:szCs w:val="16"/>
        </w:rPr>
        <w:t>Earnings</w:t>
      </w:r>
      <w:proofErr w:type="spellEnd"/>
      <w:r w:rsidR="00EB1689" w:rsidRPr="006532C7">
        <w:rPr>
          <w:sz w:val="16"/>
          <w:szCs w:val="16"/>
        </w:rPr>
        <w:t xml:space="preserve"> </w:t>
      </w:r>
      <w:r w:rsidR="00D9327D">
        <w:rPr>
          <w:sz w:val="16"/>
          <w:szCs w:val="16"/>
        </w:rPr>
        <w:t xml:space="preserve">&amp; Cashflow </w:t>
      </w:r>
      <w:proofErr w:type="spellStart"/>
      <w:r w:rsidR="00EB1689" w:rsidRPr="006532C7">
        <w:rPr>
          <w:sz w:val="16"/>
          <w:szCs w:val="16"/>
        </w:rPr>
        <w:t>Stability</w:t>
      </w:r>
      <w:proofErr w:type="spellEnd"/>
      <w:r w:rsidR="00EB1689" w:rsidRPr="006532C7">
        <w:rPr>
          <w:sz w:val="16"/>
          <w:szCs w:val="16"/>
        </w:rPr>
        <w:t xml:space="preserve"> minst </w:t>
      </w:r>
      <w:r w:rsidR="00D9327D">
        <w:rPr>
          <w:sz w:val="16"/>
          <w:szCs w:val="16"/>
        </w:rPr>
        <w:t>5</w:t>
      </w:r>
      <w:r w:rsidRPr="006532C7">
        <w:rPr>
          <w:sz w:val="16"/>
          <w:szCs w:val="16"/>
        </w:rPr>
        <w:t>. Detta utifrån studier och backtest. Bolag som inte uppfyller detta tas bort, från dem bolag som fanns kvar från Steg 3.</w:t>
      </w:r>
    </w:p>
    <w:p w14:paraId="2D1ABC53" w14:textId="3FD3F78D" w:rsidR="006532C7" w:rsidRPr="00DF0CDF" w:rsidRDefault="00DF0CDF" w:rsidP="009E5069">
      <w:pPr>
        <w:rPr>
          <w:rFonts w:eastAsiaTheme="minorEastAsia"/>
          <w:sz w:val="16"/>
          <w:szCs w:val="16"/>
          <w:lang w:val="en-US"/>
        </w:rPr>
      </w:pPr>
      <m:oMathPara>
        <m:oMath>
          <m:r>
            <w:rPr>
              <w:rFonts w:ascii="Cambria Math" w:hAnsi="Cambria Math"/>
              <w:sz w:val="16"/>
              <w:szCs w:val="16"/>
              <w:lang w:val="en-US"/>
            </w:rPr>
            <m:t xml:space="preserve">New </m:t>
          </m:r>
          <m:r>
            <w:rPr>
              <w:rFonts w:ascii="Cambria Math" w:hAnsi="Cambria Math"/>
              <w:sz w:val="16"/>
              <w:szCs w:val="16"/>
              <w:lang w:val="en-US"/>
            </w:rPr>
            <m:t>Quality Composite=</m:t>
          </m:r>
          <m:sSub>
            <m:sSubPr>
              <m:ctrlPr>
                <w:rPr>
                  <w:rFonts w:ascii="Cambria Math" w:hAnsi="Cambria Math"/>
                  <w:i/>
                  <w:sz w:val="16"/>
                  <w:szCs w:val="16"/>
                  <w:lang w:val="en-US"/>
                </w:rPr>
              </m:ctrlPr>
            </m:sSubPr>
            <m:e>
              <m:r>
                <w:rPr>
                  <w:rFonts w:ascii="Cambria Math" w:hAnsi="Cambria Math"/>
                  <w:sz w:val="16"/>
                  <w:szCs w:val="16"/>
                  <w:lang w:val="en-US"/>
                </w:rPr>
                <m:t>F</m:t>
              </m:r>
            </m:e>
            <m:sub>
              <m:r>
                <w:rPr>
                  <w:rFonts w:ascii="Cambria Math" w:hAnsi="Cambria Math"/>
                  <w:sz w:val="16"/>
                  <w:szCs w:val="16"/>
                  <w:lang w:val="en-US"/>
                </w:rPr>
                <m:t>score</m:t>
              </m:r>
            </m:sub>
          </m:sSub>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E</m:t>
              </m:r>
            </m:e>
            <m:sub>
              <m:r>
                <w:rPr>
                  <w:rFonts w:ascii="Cambria Math" w:hAnsi="Cambria Math"/>
                  <w:sz w:val="16"/>
                  <w:szCs w:val="16"/>
                  <w:lang w:val="en-US"/>
                </w:rPr>
                <m:t>score</m:t>
              </m:r>
            </m:sub>
          </m:sSub>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C</m:t>
              </m:r>
            </m:e>
            <m:sub>
              <m:r>
                <w:rPr>
                  <w:rFonts w:ascii="Cambria Math" w:hAnsi="Cambria Math"/>
                  <w:sz w:val="16"/>
                  <w:szCs w:val="16"/>
                  <w:lang w:val="en-US"/>
                </w:rPr>
                <m:t>score</m:t>
              </m:r>
            </m:sub>
          </m:sSub>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I</m:t>
              </m:r>
            </m:e>
            <m:sub>
              <m:r>
                <w:rPr>
                  <w:rFonts w:ascii="Cambria Math" w:hAnsi="Cambria Math"/>
                  <w:sz w:val="16"/>
                  <w:szCs w:val="16"/>
                  <w:lang w:val="en-US"/>
                </w:rPr>
                <m:t>score</m:t>
              </m:r>
            </m:sub>
          </m:sSub>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R</m:t>
              </m:r>
            </m:e>
            <m:sub>
              <m:r>
                <w:rPr>
                  <w:rFonts w:ascii="Cambria Math" w:hAnsi="Cambria Math"/>
                  <w:sz w:val="16"/>
                  <w:szCs w:val="16"/>
                  <w:lang w:val="en-US"/>
                </w:rPr>
                <m:t>score</m:t>
              </m:r>
            </m:sub>
          </m:sSub>
        </m:oMath>
      </m:oMathPara>
    </w:p>
    <w:p w14:paraId="68A66DB6" w14:textId="5EED545F" w:rsidR="00DF0CDF" w:rsidRPr="006532C7" w:rsidRDefault="00DF0CDF" w:rsidP="009E5069">
      <w:pPr>
        <w:rPr>
          <w:sz w:val="16"/>
          <w:szCs w:val="16"/>
          <w:lang w:val="en-US"/>
        </w:rPr>
      </w:pPr>
      <w:r>
        <w:rPr>
          <w:rFonts w:eastAsiaTheme="minorEastAsia"/>
          <w:sz w:val="16"/>
          <w:szCs w:val="16"/>
          <w:lang w:val="en-US"/>
        </w:rPr>
        <w:t>T</w:t>
      </w:r>
    </w:p>
    <w:p w14:paraId="3A07090B" w14:textId="77777777" w:rsidR="009E5069" w:rsidRPr="006532C7" w:rsidRDefault="009E5069" w:rsidP="009E5069">
      <w:pPr>
        <w:spacing w:line="240" w:lineRule="auto"/>
        <w:rPr>
          <w:sz w:val="16"/>
          <w:szCs w:val="16"/>
          <w:lang w:val="en-US"/>
        </w:rPr>
      </w:pPr>
      <w:r w:rsidRPr="006532C7">
        <w:rPr>
          <w:sz w:val="16"/>
          <w:szCs w:val="16"/>
          <w:lang w:val="en-US"/>
        </w:rPr>
        <w:t xml:space="preserve">För </w:t>
      </w:r>
      <w:proofErr w:type="spellStart"/>
      <w:r w:rsidRPr="006532C7">
        <w:rPr>
          <w:sz w:val="16"/>
          <w:szCs w:val="16"/>
          <w:lang w:val="en-US"/>
        </w:rPr>
        <w:t>mer</w:t>
      </w:r>
      <w:proofErr w:type="spellEnd"/>
      <w:r w:rsidRPr="006532C7">
        <w:rPr>
          <w:sz w:val="16"/>
          <w:szCs w:val="16"/>
          <w:lang w:val="en-US"/>
        </w:rPr>
        <w:t xml:space="preserve"> </w:t>
      </w:r>
      <w:proofErr w:type="spellStart"/>
      <w:r w:rsidRPr="006532C7">
        <w:rPr>
          <w:sz w:val="16"/>
          <w:szCs w:val="16"/>
          <w:lang w:val="en-US"/>
        </w:rPr>
        <w:t>läsning</w:t>
      </w:r>
      <w:proofErr w:type="spellEnd"/>
      <w:r w:rsidRPr="006532C7">
        <w:rPr>
          <w:sz w:val="16"/>
          <w:szCs w:val="16"/>
          <w:lang w:val="en-US"/>
        </w:rPr>
        <w:t xml:space="preserve">, se </w:t>
      </w:r>
      <w:r w:rsidRPr="006532C7">
        <w:rPr>
          <w:sz w:val="16"/>
          <w:szCs w:val="16"/>
          <w:lang w:val="en-US"/>
        </w:rPr>
        <w:br/>
        <w:t xml:space="preserve">“Value Investing: The Use of Historical Financial Statement Information to Separate Winners from Losers” av Joseph </w:t>
      </w:r>
      <w:proofErr w:type="spellStart"/>
      <w:r w:rsidRPr="006532C7">
        <w:rPr>
          <w:sz w:val="16"/>
          <w:szCs w:val="16"/>
          <w:lang w:val="en-US"/>
        </w:rPr>
        <w:t>Piotroski</w:t>
      </w:r>
      <w:proofErr w:type="spellEnd"/>
      <w:r w:rsidRPr="006532C7">
        <w:rPr>
          <w:sz w:val="16"/>
          <w:szCs w:val="16"/>
          <w:lang w:val="en-US"/>
        </w:rPr>
        <w:br/>
        <w:t>“Quantitative Value” av Gray &amp; Carlisle</w:t>
      </w:r>
    </w:p>
    <w:p w14:paraId="3AF2B88C" w14:textId="77777777" w:rsidR="009E5069" w:rsidRPr="006532C7" w:rsidRDefault="009E5069" w:rsidP="009E5069">
      <w:pPr>
        <w:rPr>
          <w:sz w:val="16"/>
          <w:szCs w:val="16"/>
          <w:lang w:val="en-US"/>
        </w:rPr>
      </w:pPr>
      <w:r w:rsidRPr="006532C7">
        <w:rPr>
          <w:sz w:val="16"/>
          <w:szCs w:val="16"/>
          <w:lang w:val="en-US"/>
        </w:rPr>
        <w:br w:type="page"/>
      </w:r>
    </w:p>
    <w:p w14:paraId="0C9EACA0" w14:textId="77777777" w:rsidR="009E5069" w:rsidRPr="006532C7" w:rsidRDefault="009E5069" w:rsidP="009E5069">
      <w:pPr>
        <w:pStyle w:val="Heading1"/>
        <w:rPr>
          <w:sz w:val="16"/>
          <w:szCs w:val="16"/>
        </w:rPr>
      </w:pPr>
      <w:r w:rsidRPr="006532C7">
        <w:rPr>
          <w:sz w:val="16"/>
          <w:szCs w:val="16"/>
        </w:rPr>
        <w:lastRenderedPageBreak/>
        <w:t>Steg 5 – Momentum</w:t>
      </w:r>
    </w:p>
    <w:p w14:paraId="3E5140D4" w14:textId="1B72D079" w:rsidR="009E5069" w:rsidRPr="006532C7" w:rsidRDefault="009E5069" w:rsidP="009E5069">
      <w:pPr>
        <w:rPr>
          <w:sz w:val="16"/>
          <w:szCs w:val="16"/>
        </w:rPr>
      </w:pPr>
      <w:r w:rsidRPr="006532C7">
        <w:rPr>
          <w:sz w:val="16"/>
          <w:szCs w:val="16"/>
        </w:rPr>
        <w:t xml:space="preserve">Oavsett hur starkt vi tror på våra bolag, är det skönt att marknaden åtminstone delar en del av vår tilltro. I stället för att försöka fånga fallande knivar, eller ignorera marknadens prissättning historiskt totalt, så letar vi bolag i upptrend. Momentum definieras som skillnaden i pris mellan två perioder, oftast på 3-12 månaders sikt (kortare så ser vi oftast en pendeleffekt, samma på längre sikt runt 5 år). Momentum är en väldokumenterad effekt, och den största anomalien, som EMH fortfarande inte har svar på. För att diversifiera vår syn på momentum, tar denna strategi momentum-effekten över flera perioder i hänsyn, och gör även en ”kvalitetsjustering” av aktiens </w:t>
      </w:r>
      <w:proofErr w:type="spellStart"/>
      <w:r w:rsidRPr="006532C7">
        <w:rPr>
          <w:sz w:val="16"/>
          <w:szCs w:val="16"/>
        </w:rPr>
        <w:t>momentum</w:t>
      </w:r>
      <w:proofErr w:type="spellEnd"/>
      <w:r w:rsidRPr="006532C7">
        <w:rPr>
          <w:sz w:val="16"/>
          <w:szCs w:val="16"/>
        </w:rPr>
        <w:t>.</w:t>
      </w:r>
      <w:r w:rsidR="0001073B">
        <w:rPr>
          <w:sz w:val="16"/>
          <w:szCs w:val="16"/>
        </w:rPr>
        <w:t xml:space="preserve"> För att få mer framåtblickande </w:t>
      </w:r>
      <w:proofErr w:type="spellStart"/>
      <w:r w:rsidR="0001073B">
        <w:rPr>
          <w:sz w:val="16"/>
          <w:szCs w:val="16"/>
        </w:rPr>
        <w:t>infomation</w:t>
      </w:r>
      <w:proofErr w:type="spellEnd"/>
      <w:r w:rsidR="0001073B">
        <w:rPr>
          <w:sz w:val="16"/>
          <w:szCs w:val="16"/>
        </w:rPr>
        <w:t xml:space="preserve"> rangordnar vi även baserat på estimat ett år framåt avseende tillväxt i vinst per aktie.</w:t>
      </w:r>
    </w:p>
    <w:p w14:paraId="4E30E287" w14:textId="77777777" w:rsidR="009E5069" w:rsidRPr="006532C7" w:rsidRDefault="009E5069" w:rsidP="009E5069">
      <w:pPr>
        <w:pStyle w:val="ListParagraph"/>
        <w:numPr>
          <w:ilvl w:val="0"/>
          <w:numId w:val="9"/>
        </w:numPr>
        <w:rPr>
          <w:sz w:val="16"/>
          <w:szCs w:val="16"/>
        </w:rPr>
      </w:pPr>
      <w:r w:rsidRPr="006532C7">
        <w:rPr>
          <w:sz w:val="16"/>
          <w:szCs w:val="16"/>
        </w:rPr>
        <w:t>3M Momentum – senaste 3 månaders prismomentum</w:t>
      </w:r>
    </w:p>
    <w:p w14:paraId="446F22E5" w14:textId="424BD852" w:rsidR="009E5069" w:rsidRPr="006532C7" w:rsidRDefault="009E5069" w:rsidP="009E5069">
      <w:pPr>
        <w:pStyle w:val="ListParagraph"/>
        <w:numPr>
          <w:ilvl w:val="0"/>
          <w:numId w:val="9"/>
        </w:numPr>
        <w:rPr>
          <w:sz w:val="16"/>
          <w:szCs w:val="16"/>
        </w:rPr>
      </w:pPr>
      <w:r w:rsidRPr="006532C7">
        <w:rPr>
          <w:sz w:val="16"/>
          <w:szCs w:val="16"/>
        </w:rPr>
        <w:t>6M Momentum – Senaste 6 månaders prismomentum</w:t>
      </w:r>
    </w:p>
    <w:p w14:paraId="72B68AC4" w14:textId="6195995A" w:rsidR="00EB1689" w:rsidRPr="006532C7" w:rsidRDefault="00EB1689" w:rsidP="009E5069">
      <w:pPr>
        <w:pStyle w:val="ListParagraph"/>
        <w:numPr>
          <w:ilvl w:val="0"/>
          <w:numId w:val="9"/>
        </w:numPr>
        <w:rPr>
          <w:sz w:val="16"/>
          <w:szCs w:val="16"/>
        </w:rPr>
      </w:pPr>
      <w:r w:rsidRPr="006532C7">
        <w:rPr>
          <w:sz w:val="16"/>
          <w:szCs w:val="16"/>
        </w:rPr>
        <w:t>9M Momentum – Senaste 9 månaders prismomentum</w:t>
      </w:r>
    </w:p>
    <w:p w14:paraId="769A7A76" w14:textId="77777777" w:rsidR="009E5069" w:rsidRPr="006532C7" w:rsidRDefault="009E5069" w:rsidP="009E5069">
      <w:pPr>
        <w:pStyle w:val="ListParagraph"/>
        <w:numPr>
          <w:ilvl w:val="0"/>
          <w:numId w:val="9"/>
        </w:numPr>
        <w:rPr>
          <w:sz w:val="16"/>
          <w:szCs w:val="16"/>
        </w:rPr>
      </w:pPr>
      <w:r w:rsidRPr="006532C7">
        <w:rPr>
          <w:sz w:val="16"/>
          <w:szCs w:val="16"/>
        </w:rPr>
        <w:t>12M Momentum – Seanste 12 månaders prismomentum</w:t>
      </w:r>
    </w:p>
    <w:p w14:paraId="1F5907D1" w14:textId="09692CA8" w:rsidR="009E5069" w:rsidRPr="006532C7" w:rsidRDefault="0001073B" w:rsidP="009E5069">
      <w:pPr>
        <w:pStyle w:val="ListParagraph"/>
        <w:numPr>
          <w:ilvl w:val="0"/>
          <w:numId w:val="9"/>
        </w:numPr>
        <w:rPr>
          <w:sz w:val="16"/>
          <w:szCs w:val="16"/>
        </w:rPr>
      </w:pPr>
      <w:r>
        <w:rPr>
          <w:sz w:val="16"/>
          <w:szCs w:val="16"/>
        </w:rPr>
        <w:t xml:space="preserve">12m Forward EPS </w:t>
      </w:r>
      <w:proofErr w:type="spellStart"/>
      <w:r>
        <w:rPr>
          <w:sz w:val="16"/>
          <w:szCs w:val="16"/>
        </w:rPr>
        <w:t>Growth</w:t>
      </w:r>
      <w:proofErr w:type="spellEnd"/>
      <w:r>
        <w:rPr>
          <w:sz w:val="16"/>
          <w:szCs w:val="16"/>
        </w:rPr>
        <w:t>%</w:t>
      </w:r>
    </w:p>
    <w:p w14:paraId="358D95A6" w14:textId="1D65EC06" w:rsidR="009E5069" w:rsidRPr="006532C7" w:rsidRDefault="009E5069" w:rsidP="009E5069">
      <w:pPr>
        <w:rPr>
          <w:sz w:val="16"/>
          <w:szCs w:val="16"/>
        </w:rPr>
      </w:pPr>
      <w:r w:rsidRPr="006532C7">
        <w:rPr>
          <w:sz w:val="16"/>
          <w:szCs w:val="16"/>
        </w:rPr>
        <w:t xml:space="preserve">Vi sätter ihop ett mått jag kallar </w:t>
      </w:r>
      <w:r w:rsidR="0001073B">
        <w:rPr>
          <w:sz w:val="16"/>
          <w:szCs w:val="16"/>
        </w:rPr>
        <w:t xml:space="preserve">New </w:t>
      </w:r>
      <w:proofErr w:type="spellStart"/>
      <w:r w:rsidRPr="006532C7">
        <w:rPr>
          <w:sz w:val="16"/>
          <w:szCs w:val="16"/>
        </w:rPr>
        <w:t>Momentum</w:t>
      </w:r>
      <w:proofErr w:type="spellEnd"/>
      <w:r w:rsidRPr="006532C7">
        <w:rPr>
          <w:sz w:val="16"/>
          <w:szCs w:val="16"/>
        </w:rPr>
        <w:t xml:space="preserve"> Composite:</w:t>
      </w:r>
    </w:p>
    <w:p w14:paraId="13B2C80A" w14:textId="225D3586" w:rsidR="009E5069" w:rsidRPr="006532C7" w:rsidRDefault="00DF0CDF" w:rsidP="009E5069">
      <w:pPr>
        <w:rPr>
          <w:sz w:val="16"/>
          <w:szCs w:val="16"/>
        </w:rPr>
      </w:pPr>
      <m:oMathPara>
        <m:oMathParaPr>
          <m:jc m:val="left"/>
        </m:oMathParaPr>
        <m:oMath>
          <m:r>
            <w:rPr>
              <w:rFonts w:ascii="Cambria Math" w:hAnsi="Cambria Math"/>
              <w:sz w:val="16"/>
              <w:szCs w:val="16"/>
            </w:rPr>
            <m:t xml:space="preserve">New </m:t>
          </m:r>
          <m:r>
            <w:rPr>
              <w:rFonts w:ascii="Cambria Math" w:hAnsi="Cambria Math"/>
              <w:sz w:val="16"/>
              <w:szCs w:val="16"/>
            </w:rPr>
            <m:t>Momentum Composite=</m:t>
          </m:r>
          <m:d>
            <m:dPr>
              <m:ctrlPr>
                <w:rPr>
                  <w:rFonts w:ascii="Cambria Math" w:hAnsi="Cambria Math"/>
                  <w:i/>
                  <w:sz w:val="16"/>
                  <w:szCs w:val="16"/>
                </w:rPr>
              </m:ctrlPr>
            </m:dPr>
            <m:e>
              <m:r>
                <w:rPr>
                  <w:rFonts w:ascii="Cambria Math" w:hAnsi="Cambria Math"/>
                  <w:sz w:val="16"/>
                  <w:szCs w:val="16"/>
                </w:rPr>
                <m:t>3M Momentum*6M Momentum*9M Momentum* 12M Momentum</m:t>
              </m:r>
            </m:e>
          </m:d>
          <m:r>
            <w:rPr>
              <w:rFonts w:ascii="Cambria Math" w:hAnsi="Cambria Math"/>
              <w:sz w:val="16"/>
              <w:szCs w:val="16"/>
            </w:rPr>
            <m:t>*12</m:t>
          </m:r>
          <m:sSub>
            <m:sSubPr>
              <m:ctrlPr>
                <w:rPr>
                  <w:rFonts w:ascii="Cambria Math" w:hAnsi="Cambria Math"/>
                  <w:i/>
                  <w:sz w:val="16"/>
                  <w:szCs w:val="16"/>
                </w:rPr>
              </m:ctrlPr>
            </m:sSubPr>
            <m:e>
              <m:r>
                <w:rPr>
                  <w:rFonts w:ascii="Cambria Math" w:hAnsi="Cambria Math"/>
                  <w:sz w:val="16"/>
                  <w:szCs w:val="16"/>
                </w:rPr>
                <m:t>m</m:t>
              </m:r>
            </m:e>
            <m:sub>
              <m:r>
                <w:rPr>
                  <w:rFonts w:ascii="Cambria Math" w:hAnsi="Cambria Math"/>
                  <w:sz w:val="16"/>
                  <w:szCs w:val="16"/>
                </w:rPr>
                <m:t>f</m:t>
              </m:r>
            </m:sub>
          </m:sSub>
          <m:r>
            <w:rPr>
              <w:rFonts w:ascii="Cambria Math" w:hAnsi="Cambria Math"/>
              <w:sz w:val="16"/>
              <w:szCs w:val="16"/>
            </w:rPr>
            <m:t>EPS%</m:t>
          </m:r>
        </m:oMath>
      </m:oMathPara>
    </w:p>
    <w:p w14:paraId="4CB0ED17" w14:textId="77777777" w:rsidR="009E5069" w:rsidRPr="006532C7" w:rsidRDefault="009E5069" w:rsidP="009E5069">
      <w:pPr>
        <w:spacing w:line="240" w:lineRule="auto"/>
        <w:rPr>
          <w:sz w:val="16"/>
          <w:szCs w:val="16"/>
          <w:lang w:val="en-US"/>
        </w:rPr>
      </w:pPr>
      <w:r w:rsidRPr="006532C7">
        <w:rPr>
          <w:sz w:val="16"/>
          <w:szCs w:val="16"/>
          <w:lang w:val="en-US"/>
        </w:rPr>
        <w:t xml:space="preserve">För </w:t>
      </w:r>
      <w:proofErr w:type="spellStart"/>
      <w:r w:rsidRPr="006532C7">
        <w:rPr>
          <w:sz w:val="16"/>
          <w:szCs w:val="16"/>
          <w:lang w:val="en-US"/>
        </w:rPr>
        <w:t>mer</w:t>
      </w:r>
      <w:proofErr w:type="spellEnd"/>
      <w:r w:rsidRPr="006532C7">
        <w:rPr>
          <w:sz w:val="16"/>
          <w:szCs w:val="16"/>
          <w:lang w:val="en-US"/>
        </w:rPr>
        <w:t xml:space="preserve"> </w:t>
      </w:r>
      <w:proofErr w:type="spellStart"/>
      <w:r w:rsidRPr="006532C7">
        <w:rPr>
          <w:sz w:val="16"/>
          <w:szCs w:val="16"/>
          <w:lang w:val="en-US"/>
        </w:rPr>
        <w:t>läsning</w:t>
      </w:r>
      <w:proofErr w:type="spellEnd"/>
      <w:r w:rsidRPr="006532C7">
        <w:rPr>
          <w:sz w:val="16"/>
          <w:szCs w:val="16"/>
          <w:lang w:val="en-US"/>
        </w:rPr>
        <w:t xml:space="preserve">, se </w:t>
      </w:r>
      <w:r w:rsidRPr="006532C7">
        <w:rPr>
          <w:sz w:val="16"/>
          <w:szCs w:val="16"/>
          <w:lang w:val="en-US"/>
        </w:rPr>
        <w:br/>
        <w:t>“Quantitative Momentum” av Gray &amp; Vogel</w:t>
      </w:r>
      <w:r w:rsidRPr="006532C7">
        <w:rPr>
          <w:sz w:val="16"/>
          <w:szCs w:val="16"/>
          <w:lang w:val="en-US"/>
        </w:rPr>
        <w:br/>
        <w:t xml:space="preserve">”Dual Momentum” av </w:t>
      </w:r>
      <w:proofErr w:type="spellStart"/>
      <w:r w:rsidRPr="006532C7">
        <w:rPr>
          <w:sz w:val="16"/>
          <w:szCs w:val="16"/>
          <w:lang w:val="en-US"/>
        </w:rPr>
        <w:t>Antonacci</w:t>
      </w:r>
      <w:proofErr w:type="spellEnd"/>
      <w:r w:rsidRPr="006532C7">
        <w:rPr>
          <w:sz w:val="16"/>
          <w:szCs w:val="16"/>
          <w:lang w:val="en-US"/>
        </w:rPr>
        <w:br/>
        <w:t>”Frog in the Pan: Continuous Information and Momentum” av Da et al.</w:t>
      </w:r>
      <w:r w:rsidRPr="006532C7">
        <w:rPr>
          <w:sz w:val="16"/>
          <w:szCs w:val="16"/>
          <w:lang w:val="en-US"/>
        </w:rPr>
        <w:br/>
        <w:t xml:space="preserve">”Returns to Buying Winners and Selling Losers: Implications for Stock Market Efficiency” av </w:t>
      </w:r>
      <w:proofErr w:type="spellStart"/>
      <w:r w:rsidRPr="006532C7">
        <w:rPr>
          <w:sz w:val="16"/>
          <w:szCs w:val="16"/>
          <w:lang w:val="en-US"/>
        </w:rPr>
        <w:t>Jegadeesh</w:t>
      </w:r>
      <w:proofErr w:type="spellEnd"/>
      <w:r w:rsidRPr="006532C7">
        <w:rPr>
          <w:sz w:val="16"/>
          <w:szCs w:val="16"/>
          <w:lang w:val="en-US"/>
        </w:rPr>
        <w:t xml:space="preserve"> &amp; Titman</w:t>
      </w:r>
    </w:p>
    <w:p w14:paraId="4D49C9AE" w14:textId="77777777" w:rsidR="00DF0CDF" w:rsidRDefault="00DF0CDF">
      <w:pPr>
        <w:rPr>
          <w:rFonts w:asciiTheme="majorHAnsi" w:eastAsiaTheme="majorEastAsia" w:hAnsiTheme="majorHAnsi" w:cstheme="majorBidi"/>
          <w:b/>
          <w:bCs/>
          <w:color w:val="365F91" w:themeColor="accent1" w:themeShade="BF"/>
          <w:sz w:val="16"/>
          <w:szCs w:val="16"/>
        </w:rPr>
      </w:pPr>
      <w:r>
        <w:rPr>
          <w:sz w:val="16"/>
          <w:szCs w:val="16"/>
        </w:rPr>
        <w:br w:type="page"/>
      </w:r>
    </w:p>
    <w:p w14:paraId="3A8473CE" w14:textId="0B5B6BF8" w:rsidR="009E5069" w:rsidRPr="006532C7" w:rsidRDefault="009E5069" w:rsidP="009E5069">
      <w:pPr>
        <w:pStyle w:val="Heading1"/>
        <w:rPr>
          <w:sz w:val="16"/>
          <w:szCs w:val="16"/>
        </w:rPr>
      </w:pPr>
      <w:r w:rsidRPr="006532C7">
        <w:rPr>
          <w:sz w:val="16"/>
          <w:szCs w:val="16"/>
        </w:rPr>
        <w:lastRenderedPageBreak/>
        <w:t>Steg 6 – Köpa, Sälja och Ombalansering</w:t>
      </w:r>
    </w:p>
    <w:p w14:paraId="065B879F" w14:textId="77777777" w:rsidR="00A148A0" w:rsidRPr="006532C7" w:rsidRDefault="00A148A0" w:rsidP="00A148A0">
      <w:pPr>
        <w:rPr>
          <w:sz w:val="16"/>
          <w:szCs w:val="16"/>
        </w:rPr>
      </w:pPr>
      <w:r w:rsidRPr="006532C7">
        <w:rPr>
          <w:sz w:val="16"/>
          <w:szCs w:val="16"/>
        </w:rPr>
        <w:t>För att uppnå god riskspridning (med förutsättningarna att denna modell är ett komplement till en global, diversifierad portfölj), samt tillåta vinnare att ta utrymme i portföljen (då vi inte viktar om aktivt), sätts antalet aktier till 20st.</w:t>
      </w:r>
    </w:p>
    <w:p w14:paraId="006E93D1" w14:textId="77777777" w:rsidR="009E5069" w:rsidRPr="006532C7" w:rsidRDefault="00A148A0" w:rsidP="009E5069">
      <w:pPr>
        <w:rPr>
          <w:sz w:val="16"/>
          <w:szCs w:val="16"/>
        </w:rPr>
      </w:pPr>
      <w:r w:rsidRPr="006532C7">
        <w:rPr>
          <w:sz w:val="16"/>
          <w:szCs w:val="16"/>
        </w:rPr>
        <w:t xml:space="preserve">Då denna modell är starkt beroende på när den sjösätts, sprider vi ut våra transaktioner över ett antal perioder över året. Vi vill eliminera både tur och otur i tajmingen, och förlita oss på att modellen fungerar. För att åtminstone försöka rationellt välja när vi ska handla, vänder vi oss till Gray &amp; Vogels studie över den såkallade ”Window-dressing” effekten. I korta drag handlar det om att fondförvaltare av aktiva fonder har en tendens att sälja förlorare och köpa vinnare när det är dags att redovisa innehav till sina andelsägare. Detta görs 4 ggr per år. Vi vill investera INNAN dem gör det, så vi lägger oss strax före med våra köp. </w:t>
      </w:r>
    </w:p>
    <w:p w14:paraId="2D295D1E" w14:textId="77777777" w:rsidR="00A148A0" w:rsidRPr="006532C7" w:rsidRDefault="00A148A0" w:rsidP="00A148A0">
      <w:pPr>
        <w:pStyle w:val="ListParagraph"/>
        <w:numPr>
          <w:ilvl w:val="0"/>
          <w:numId w:val="10"/>
        </w:numPr>
        <w:rPr>
          <w:sz w:val="16"/>
          <w:szCs w:val="16"/>
        </w:rPr>
      </w:pPr>
      <w:r w:rsidRPr="006532C7">
        <w:rPr>
          <w:sz w:val="16"/>
          <w:szCs w:val="16"/>
        </w:rPr>
        <w:t>Detta innebär köp/sälj:</w:t>
      </w:r>
    </w:p>
    <w:p w14:paraId="26E6177A" w14:textId="77777777" w:rsidR="00A148A0" w:rsidRPr="006532C7" w:rsidRDefault="00A148A0" w:rsidP="00A148A0">
      <w:pPr>
        <w:pStyle w:val="ListParagraph"/>
        <w:numPr>
          <w:ilvl w:val="1"/>
          <w:numId w:val="10"/>
        </w:numPr>
        <w:rPr>
          <w:sz w:val="16"/>
          <w:szCs w:val="16"/>
        </w:rPr>
      </w:pPr>
      <w:r w:rsidRPr="006532C7">
        <w:rPr>
          <w:sz w:val="16"/>
          <w:szCs w:val="16"/>
        </w:rPr>
        <w:t>I slutet på Februari</w:t>
      </w:r>
    </w:p>
    <w:p w14:paraId="641F5E8D" w14:textId="77777777" w:rsidR="00A148A0" w:rsidRPr="006532C7" w:rsidRDefault="00A148A0" w:rsidP="00A148A0">
      <w:pPr>
        <w:pStyle w:val="ListParagraph"/>
        <w:numPr>
          <w:ilvl w:val="1"/>
          <w:numId w:val="10"/>
        </w:numPr>
        <w:rPr>
          <w:sz w:val="16"/>
          <w:szCs w:val="16"/>
        </w:rPr>
      </w:pPr>
      <w:r w:rsidRPr="006532C7">
        <w:rPr>
          <w:sz w:val="16"/>
          <w:szCs w:val="16"/>
        </w:rPr>
        <w:t>I slutet på Maj</w:t>
      </w:r>
    </w:p>
    <w:p w14:paraId="227B2466" w14:textId="77777777" w:rsidR="00A148A0" w:rsidRPr="006532C7" w:rsidRDefault="00A148A0" w:rsidP="00A148A0">
      <w:pPr>
        <w:pStyle w:val="ListParagraph"/>
        <w:numPr>
          <w:ilvl w:val="1"/>
          <w:numId w:val="10"/>
        </w:numPr>
        <w:rPr>
          <w:sz w:val="16"/>
          <w:szCs w:val="16"/>
        </w:rPr>
      </w:pPr>
      <w:r w:rsidRPr="006532C7">
        <w:rPr>
          <w:sz w:val="16"/>
          <w:szCs w:val="16"/>
        </w:rPr>
        <w:t>I slutet på Augusti</w:t>
      </w:r>
    </w:p>
    <w:p w14:paraId="69301EB1" w14:textId="77777777" w:rsidR="00A148A0" w:rsidRPr="006532C7" w:rsidRDefault="00A148A0" w:rsidP="00A148A0">
      <w:pPr>
        <w:pStyle w:val="ListParagraph"/>
        <w:numPr>
          <w:ilvl w:val="1"/>
          <w:numId w:val="10"/>
        </w:numPr>
        <w:rPr>
          <w:sz w:val="16"/>
          <w:szCs w:val="16"/>
        </w:rPr>
      </w:pPr>
      <w:r w:rsidRPr="006532C7">
        <w:rPr>
          <w:sz w:val="16"/>
          <w:szCs w:val="16"/>
        </w:rPr>
        <w:t>I slutet på November</w:t>
      </w:r>
    </w:p>
    <w:p w14:paraId="76164AA2" w14:textId="77777777" w:rsidR="00A148A0" w:rsidRPr="006532C7" w:rsidRDefault="00A148A0" w:rsidP="00A148A0">
      <w:pPr>
        <w:rPr>
          <w:sz w:val="16"/>
          <w:szCs w:val="16"/>
        </w:rPr>
      </w:pPr>
      <w:r w:rsidRPr="006532C7">
        <w:rPr>
          <w:sz w:val="16"/>
          <w:szCs w:val="16"/>
        </w:rPr>
        <w:t>Med 4 transaktionsperioder, ombalanserar vi ca 1/4e del av portföljen i taget, med 1 år som riktmärke för hållningsperiod. Då vissa perioder kan gå MYCKET bättre än andra (dvs att tex Februari-delen växer från 1/4e del till kanske ½ portföljvärdet), kan det vara lämpligt att ha en fond som ombalanseringshjälp. I praktikten ser det ut som följande:</w:t>
      </w:r>
    </w:p>
    <w:p w14:paraId="503A1CFD" w14:textId="77777777" w:rsidR="00A148A0" w:rsidRPr="006532C7" w:rsidRDefault="00A148A0" w:rsidP="00A148A0">
      <w:pPr>
        <w:pStyle w:val="ListParagraph"/>
        <w:numPr>
          <w:ilvl w:val="0"/>
          <w:numId w:val="11"/>
        </w:numPr>
        <w:rPr>
          <w:sz w:val="16"/>
          <w:szCs w:val="16"/>
        </w:rPr>
      </w:pPr>
      <w:r w:rsidRPr="006532C7">
        <w:rPr>
          <w:sz w:val="16"/>
          <w:szCs w:val="16"/>
        </w:rPr>
        <w:t>Portföljstart februari – Vi köper topp 5 bolag efter modellen, likaviktat, för 1/4e del av kapitalet som allokerats till strategin. Vi gör likadant i Maj, Augusti och November, med nya bolag. Bolag du redan äger från innevarande år skippas.</w:t>
      </w:r>
    </w:p>
    <w:p w14:paraId="607704BA" w14:textId="77777777" w:rsidR="00A148A0" w:rsidRPr="006532C7" w:rsidRDefault="00A148A0" w:rsidP="00A148A0">
      <w:pPr>
        <w:pStyle w:val="ListParagraph"/>
        <w:numPr>
          <w:ilvl w:val="0"/>
          <w:numId w:val="11"/>
        </w:numPr>
        <w:rPr>
          <w:sz w:val="16"/>
          <w:szCs w:val="16"/>
        </w:rPr>
      </w:pPr>
      <w:r w:rsidRPr="006532C7">
        <w:rPr>
          <w:sz w:val="16"/>
          <w:szCs w:val="16"/>
        </w:rPr>
        <w:t xml:space="preserve">Februari ett år senare – Vi screenar fram topp 5 igen. Bolag som redan ligger i portföljen behålls. Resten bytts ut, och vi siktar på att likavikta mellan dessa 5 bolag för februari-delen. Om denna 4e del av portföljen har gått mycket starkare än dem andra, så har vi en regel att du investerar </w:t>
      </w:r>
      <w:r w:rsidRPr="006532C7">
        <w:rPr>
          <w:b/>
          <w:sz w:val="16"/>
          <w:szCs w:val="16"/>
        </w:rPr>
        <w:t xml:space="preserve">max 1/4e </w:t>
      </w:r>
      <w:r w:rsidRPr="006532C7">
        <w:rPr>
          <w:sz w:val="16"/>
          <w:szCs w:val="16"/>
        </w:rPr>
        <w:t>del av totala portföljen. Resterande summa investeras i en lämplig fond (Svensk småbolagsindex kanske?) sådant att dem kan investeras i nästa period som har ”underskott” av kapital, dvs är mindre än 1/4e del av totala portföljvärdet.</w:t>
      </w:r>
    </w:p>
    <w:p w14:paraId="50FD4636" w14:textId="77777777" w:rsidR="00A148A0" w:rsidRPr="006532C7" w:rsidRDefault="00A148A0" w:rsidP="00A148A0">
      <w:pPr>
        <w:pStyle w:val="Heading3"/>
        <w:rPr>
          <w:sz w:val="16"/>
          <w:szCs w:val="16"/>
        </w:rPr>
      </w:pPr>
      <w:r w:rsidRPr="006532C7">
        <w:rPr>
          <w:sz w:val="16"/>
          <w:szCs w:val="16"/>
        </w:rPr>
        <w:t>Exempel:</w:t>
      </w:r>
    </w:p>
    <w:p w14:paraId="1F7B5C03" w14:textId="77777777" w:rsidR="00A148A0" w:rsidRPr="006532C7" w:rsidRDefault="00A148A0" w:rsidP="00A148A0">
      <w:pPr>
        <w:pStyle w:val="ListParagraph"/>
        <w:numPr>
          <w:ilvl w:val="0"/>
          <w:numId w:val="12"/>
        </w:numPr>
        <w:rPr>
          <w:sz w:val="16"/>
          <w:szCs w:val="16"/>
        </w:rPr>
      </w:pPr>
      <w:r w:rsidRPr="006532C7">
        <w:rPr>
          <w:sz w:val="16"/>
          <w:szCs w:val="16"/>
        </w:rPr>
        <w:t xml:space="preserve">Köper Bolag F1, F2, F3, F4, F5 i Februari </w:t>
      </w:r>
      <w:r w:rsidRPr="006532C7">
        <w:rPr>
          <w:b/>
          <w:sz w:val="16"/>
          <w:szCs w:val="16"/>
        </w:rPr>
        <w:t>Å1</w:t>
      </w:r>
      <w:r w:rsidRPr="006532C7">
        <w:rPr>
          <w:sz w:val="16"/>
          <w:szCs w:val="16"/>
        </w:rPr>
        <w:t xml:space="preserve">. Vi ska investera ¼ del av portföljvärdet </w:t>
      </w:r>
      <w:r w:rsidRPr="006532C7">
        <w:rPr>
          <w:b/>
          <w:sz w:val="16"/>
          <w:szCs w:val="16"/>
        </w:rPr>
        <w:t>P</w:t>
      </w:r>
      <w:r w:rsidRPr="006532C7">
        <w:rPr>
          <w:sz w:val="16"/>
          <w:szCs w:val="16"/>
        </w:rPr>
        <w:t xml:space="preserve">, likaviktat, så vi investerar </w:t>
      </w:r>
      <w:r w:rsidRPr="006532C7">
        <w:rPr>
          <w:b/>
          <w:sz w:val="16"/>
          <w:szCs w:val="16"/>
        </w:rPr>
        <w:t>P</w:t>
      </w:r>
      <w:r w:rsidRPr="006532C7">
        <w:rPr>
          <w:sz w:val="16"/>
          <w:szCs w:val="16"/>
        </w:rPr>
        <w:t>/(4*5) = P/20 i dessa bolag</w:t>
      </w:r>
    </w:p>
    <w:p w14:paraId="5A85A320" w14:textId="77777777" w:rsidR="00A148A0" w:rsidRPr="006532C7" w:rsidRDefault="00A148A0" w:rsidP="00A148A0">
      <w:pPr>
        <w:pStyle w:val="ListParagraph"/>
        <w:numPr>
          <w:ilvl w:val="0"/>
          <w:numId w:val="12"/>
        </w:numPr>
        <w:rPr>
          <w:sz w:val="16"/>
          <w:szCs w:val="16"/>
        </w:rPr>
      </w:pPr>
      <w:r w:rsidRPr="006532C7">
        <w:rPr>
          <w:sz w:val="16"/>
          <w:szCs w:val="16"/>
        </w:rPr>
        <w:t>Köper bolag M1-M5 i Maj. Får vi ut bolag F1-F5 från modellen, skippas dessa till nästa på rangordningen.</w:t>
      </w:r>
    </w:p>
    <w:p w14:paraId="53CFD9C4" w14:textId="77777777" w:rsidR="00A148A0" w:rsidRPr="006532C7" w:rsidRDefault="00A148A0" w:rsidP="00A148A0">
      <w:pPr>
        <w:pStyle w:val="ListParagraph"/>
        <w:numPr>
          <w:ilvl w:val="0"/>
          <w:numId w:val="12"/>
        </w:numPr>
        <w:rPr>
          <w:sz w:val="16"/>
          <w:szCs w:val="16"/>
        </w:rPr>
      </w:pPr>
      <w:r w:rsidRPr="006532C7">
        <w:rPr>
          <w:sz w:val="16"/>
          <w:szCs w:val="16"/>
        </w:rPr>
        <w:t>Köper bolag A1-A5 i Augusti. Får vi ut bolag F1-F5, M1-M5 från modellen, skippas dessa till nästa på rangordningen.</w:t>
      </w:r>
    </w:p>
    <w:p w14:paraId="67E2178E" w14:textId="77777777" w:rsidR="00A148A0" w:rsidRPr="006532C7" w:rsidRDefault="00A148A0" w:rsidP="00A148A0">
      <w:pPr>
        <w:pStyle w:val="ListParagraph"/>
        <w:numPr>
          <w:ilvl w:val="0"/>
          <w:numId w:val="12"/>
        </w:numPr>
        <w:rPr>
          <w:sz w:val="16"/>
          <w:szCs w:val="16"/>
        </w:rPr>
      </w:pPr>
      <w:r w:rsidRPr="006532C7">
        <w:rPr>
          <w:sz w:val="16"/>
          <w:szCs w:val="16"/>
        </w:rPr>
        <w:t>Köper bolag N1-N5 i November. Får vi ut bolag F1-F5, M1-M5, A1-A5 från modellen, skippas dessa till nästa på rangordningen.</w:t>
      </w:r>
    </w:p>
    <w:p w14:paraId="4D283A4E" w14:textId="22CB0815" w:rsidR="009E5069" w:rsidRPr="006532C7" w:rsidRDefault="00A148A0" w:rsidP="009E5069">
      <w:pPr>
        <w:pStyle w:val="ListParagraph"/>
        <w:numPr>
          <w:ilvl w:val="0"/>
          <w:numId w:val="12"/>
        </w:numPr>
        <w:rPr>
          <w:sz w:val="16"/>
          <w:szCs w:val="16"/>
        </w:rPr>
      </w:pPr>
      <w:r w:rsidRPr="006532C7">
        <w:rPr>
          <w:sz w:val="16"/>
          <w:szCs w:val="16"/>
        </w:rPr>
        <w:t xml:space="preserve">Nytt år! Vi tittar på bolagen som modellen ger oss. Om någon av dem matchar med F1-F5 från </w:t>
      </w:r>
      <w:r w:rsidRPr="006532C7">
        <w:rPr>
          <w:b/>
          <w:sz w:val="16"/>
          <w:szCs w:val="16"/>
        </w:rPr>
        <w:t>Å1</w:t>
      </w:r>
      <w:r w:rsidRPr="006532C7">
        <w:rPr>
          <w:sz w:val="16"/>
          <w:szCs w:val="16"/>
        </w:rPr>
        <w:t xml:space="preserve">, behåller vi dem, och investerar mer i dem sådant att vi uppfyller P/20. Bolag från andra perioder förra året (M,A,N1-5) skippas i rangordningen. Har Februari’s tillväxt varit sådan att totala kapitalet för februari är större än </w:t>
      </w:r>
      <w:r w:rsidRPr="006532C7">
        <w:rPr>
          <w:b/>
          <w:sz w:val="16"/>
          <w:szCs w:val="16"/>
        </w:rPr>
        <w:t>P/4</w:t>
      </w:r>
      <w:r w:rsidRPr="006532C7">
        <w:rPr>
          <w:sz w:val="16"/>
          <w:szCs w:val="16"/>
        </w:rPr>
        <w:t xml:space="preserve">, investerar vi fortfarande endast upp till </w:t>
      </w:r>
      <w:r w:rsidRPr="006532C7">
        <w:rPr>
          <w:b/>
          <w:sz w:val="16"/>
          <w:szCs w:val="16"/>
        </w:rPr>
        <w:t xml:space="preserve">P/4. </w:t>
      </w:r>
      <w:r w:rsidRPr="006532C7">
        <w:rPr>
          <w:sz w:val="16"/>
          <w:szCs w:val="16"/>
        </w:rPr>
        <w:t>Resterande kapital läggs i en Svensk Småbolagsindex fond, sådant att det kan investera i nästa period med underskot</w:t>
      </w:r>
      <w:r w:rsidR="00DF0CDF">
        <w:rPr>
          <w:sz w:val="16"/>
          <w:szCs w:val="16"/>
        </w:rPr>
        <w:t>t</w:t>
      </w:r>
    </w:p>
    <w:sectPr w:rsidR="009E5069" w:rsidRPr="006532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3563A"/>
    <w:multiLevelType w:val="hybridMultilevel"/>
    <w:tmpl w:val="4BC8C6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03A3B5D"/>
    <w:multiLevelType w:val="hybridMultilevel"/>
    <w:tmpl w:val="43C663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03731C"/>
    <w:multiLevelType w:val="hybridMultilevel"/>
    <w:tmpl w:val="7974F7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5E3204D"/>
    <w:multiLevelType w:val="hybridMultilevel"/>
    <w:tmpl w:val="E4B0CFD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755126B"/>
    <w:multiLevelType w:val="hybridMultilevel"/>
    <w:tmpl w:val="AA3898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E164E7C"/>
    <w:multiLevelType w:val="hybridMultilevel"/>
    <w:tmpl w:val="58B455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31610C7"/>
    <w:multiLevelType w:val="hybridMultilevel"/>
    <w:tmpl w:val="9558DA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BA0190C"/>
    <w:multiLevelType w:val="hybridMultilevel"/>
    <w:tmpl w:val="112E86D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4E666411"/>
    <w:multiLevelType w:val="hybridMultilevel"/>
    <w:tmpl w:val="64188C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1AF22FE"/>
    <w:multiLevelType w:val="hybridMultilevel"/>
    <w:tmpl w:val="3154AE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96904EB"/>
    <w:multiLevelType w:val="hybridMultilevel"/>
    <w:tmpl w:val="A916413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A7249FD"/>
    <w:multiLevelType w:val="hybridMultilevel"/>
    <w:tmpl w:val="7A14D1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64896814">
    <w:abstractNumId w:val="8"/>
  </w:num>
  <w:num w:numId="2" w16cid:durableId="1306475031">
    <w:abstractNumId w:val="1"/>
  </w:num>
  <w:num w:numId="3" w16cid:durableId="1730421750">
    <w:abstractNumId w:val="11"/>
  </w:num>
  <w:num w:numId="4" w16cid:durableId="475298460">
    <w:abstractNumId w:val="6"/>
  </w:num>
  <w:num w:numId="5" w16cid:durableId="399985019">
    <w:abstractNumId w:val="9"/>
  </w:num>
  <w:num w:numId="6" w16cid:durableId="1754080688">
    <w:abstractNumId w:val="5"/>
  </w:num>
  <w:num w:numId="7" w16cid:durableId="1841192434">
    <w:abstractNumId w:val="2"/>
  </w:num>
  <w:num w:numId="8" w16cid:durableId="734085460">
    <w:abstractNumId w:val="4"/>
  </w:num>
  <w:num w:numId="9" w16cid:durableId="1935824200">
    <w:abstractNumId w:val="0"/>
  </w:num>
  <w:num w:numId="10" w16cid:durableId="888035375">
    <w:abstractNumId w:val="10"/>
  </w:num>
  <w:num w:numId="11" w16cid:durableId="720373190">
    <w:abstractNumId w:val="7"/>
  </w:num>
  <w:num w:numId="12" w16cid:durableId="1638030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5069"/>
    <w:rsid w:val="0001073B"/>
    <w:rsid w:val="002949F8"/>
    <w:rsid w:val="002A3D11"/>
    <w:rsid w:val="004B4E67"/>
    <w:rsid w:val="006532C7"/>
    <w:rsid w:val="006C5C25"/>
    <w:rsid w:val="00764F7D"/>
    <w:rsid w:val="00791F25"/>
    <w:rsid w:val="009464C1"/>
    <w:rsid w:val="009E5069"/>
    <w:rsid w:val="00A14553"/>
    <w:rsid w:val="00A148A0"/>
    <w:rsid w:val="00A92F65"/>
    <w:rsid w:val="00B24506"/>
    <w:rsid w:val="00B351CE"/>
    <w:rsid w:val="00BD5B52"/>
    <w:rsid w:val="00C87E5F"/>
    <w:rsid w:val="00D9327D"/>
    <w:rsid w:val="00DF0CDF"/>
    <w:rsid w:val="00E82656"/>
    <w:rsid w:val="00EA34EB"/>
    <w:rsid w:val="00EB16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626A"/>
  <w15:docId w15:val="{08A75A1C-5793-4703-A66D-E7D00F10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0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50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E50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E506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E5069"/>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9E506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9E5069"/>
    <w:pPr>
      <w:ind w:left="720"/>
      <w:contextualSpacing/>
    </w:pPr>
  </w:style>
  <w:style w:type="character" w:styleId="PlaceholderText">
    <w:name w:val="Placeholder Text"/>
    <w:basedOn w:val="DefaultParagraphFont"/>
    <w:uiPriority w:val="99"/>
    <w:semiHidden/>
    <w:rsid w:val="009E5069"/>
    <w:rPr>
      <w:color w:val="808080"/>
    </w:rPr>
  </w:style>
  <w:style w:type="paragraph" w:styleId="BalloonText">
    <w:name w:val="Balloon Text"/>
    <w:basedOn w:val="Normal"/>
    <w:link w:val="BalloonTextChar"/>
    <w:uiPriority w:val="99"/>
    <w:semiHidden/>
    <w:unhideWhenUsed/>
    <w:rsid w:val="009E5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069"/>
    <w:rPr>
      <w:rFonts w:ascii="Tahoma" w:hAnsi="Tahoma" w:cs="Tahoma"/>
      <w:sz w:val="16"/>
      <w:szCs w:val="16"/>
    </w:rPr>
  </w:style>
  <w:style w:type="character" w:customStyle="1" w:styleId="Heading2Char">
    <w:name w:val="Heading 2 Char"/>
    <w:basedOn w:val="DefaultParagraphFont"/>
    <w:link w:val="Heading2"/>
    <w:uiPriority w:val="9"/>
    <w:rsid w:val="009E506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E506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6</Pages>
  <Words>2711</Words>
  <Characters>14370</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LOFTET</dc:creator>
  <cp:lastModifiedBy>Andre Granström</cp:lastModifiedBy>
  <cp:revision>19</cp:revision>
  <dcterms:created xsi:type="dcterms:W3CDTF">2021-06-18T18:02:00Z</dcterms:created>
  <dcterms:modified xsi:type="dcterms:W3CDTF">2023-02-25T10:33:00Z</dcterms:modified>
</cp:coreProperties>
</file>